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6EA0D" w14:textId="77777777" w:rsidR="00EE24C8" w:rsidRDefault="00000000">
      <w:pPr>
        <w:spacing w:line="590" w:lineRule="exact"/>
        <w:jc w:val="left"/>
        <w:rPr>
          <w:rFonts w:ascii="Times New Roman" w:eastAsia="黑体" w:hAnsi="Times New Roman"/>
          <w:bCs/>
          <w:sz w:val="32"/>
          <w:szCs w:val="32"/>
        </w:rPr>
      </w:pPr>
      <w:r>
        <w:rPr>
          <w:rFonts w:ascii="Times New Roman" w:eastAsia="黑体" w:hAnsi="Times New Roman"/>
          <w:bCs/>
          <w:sz w:val="32"/>
          <w:szCs w:val="32"/>
        </w:rPr>
        <w:t>附件</w:t>
      </w:r>
    </w:p>
    <w:p w14:paraId="0F7DB9CF" w14:textId="77777777" w:rsidR="00EE24C8" w:rsidRDefault="00EE24C8">
      <w:pPr>
        <w:spacing w:line="590" w:lineRule="exact"/>
        <w:jc w:val="center"/>
        <w:rPr>
          <w:rFonts w:ascii="Times New Roman" w:eastAsia="方正小标宋简体" w:hAnsi="Times New Roman"/>
          <w:bCs/>
          <w:sz w:val="44"/>
          <w:szCs w:val="44"/>
        </w:rPr>
      </w:pPr>
    </w:p>
    <w:p w14:paraId="654DFFCE" w14:textId="77777777" w:rsidR="00EE24C8" w:rsidRDefault="00000000">
      <w:pPr>
        <w:spacing w:line="59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古城危旧老旧片区改造提升项目</w:t>
      </w:r>
    </w:p>
    <w:p w14:paraId="7C5B7838" w14:textId="77777777" w:rsidR="00EE24C8" w:rsidRDefault="00000000">
      <w:pPr>
        <w:spacing w:line="59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（财贸干校宿舍楼地块）实施方案</w:t>
      </w:r>
    </w:p>
    <w:p w14:paraId="5C1FFC3F" w14:textId="77777777" w:rsidR="00EE24C8" w:rsidRDefault="00000000">
      <w:pPr>
        <w:spacing w:line="590" w:lineRule="exact"/>
        <w:jc w:val="center"/>
        <w:rPr>
          <w:rFonts w:ascii="Times New Roman" w:eastAsia="方正楷体简体" w:hAnsi="Times New Roman"/>
          <w:sz w:val="32"/>
          <w:szCs w:val="32"/>
        </w:rPr>
      </w:pPr>
      <w:r>
        <w:rPr>
          <w:rFonts w:ascii="Times New Roman" w:eastAsia="方正楷体简体" w:hAnsi="Times New Roman"/>
          <w:sz w:val="32"/>
          <w:szCs w:val="32"/>
        </w:rPr>
        <w:t>（征求意见稿）</w:t>
      </w:r>
    </w:p>
    <w:p w14:paraId="521CD91F" w14:textId="77777777" w:rsidR="00EE24C8" w:rsidRDefault="00EE24C8">
      <w:pPr>
        <w:jc w:val="center"/>
        <w:rPr>
          <w:rFonts w:ascii="Times New Roman" w:hAnsi="Times New Roman"/>
        </w:rPr>
      </w:pPr>
    </w:p>
    <w:p w14:paraId="37C26B1B" w14:textId="77777777" w:rsidR="00EE24C8" w:rsidRDefault="00EE24C8">
      <w:pPr>
        <w:jc w:val="center"/>
        <w:rPr>
          <w:rFonts w:ascii="Times New Roman" w:hAnsi="Times New Roman"/>
        </w:rPr>
      </w:pPr>
    </w:p>
    <w:p w14:paraId="3893B36A" w14:textId="77777777" w:rsidR="00EE24C8" w:rsidRDefault="00EE24C8">
      <w:pPr>
        <w:jc w:val="center"/>
        <w:rPr>
          <w:rFonts w:ascii="Times New Roman" w:hAnsi="Times New Roman"/>
        </w:rPr>
      </w:pPr>
    </w:p>
    <w:p w14:paraId="1556C3B9" w14:textId="77777777" w:rsidR="00EE24C8" w:rsidRDefault="00EE24C8">
      <w:pPr>
        <w:jc w:val="center"/>
        <w:rPr>
          <w:rFonts w:ascii="Times New Roman" w:hAnsi="Times New Roman"/>
        </w:rPr>
      </w:pPr>
    </w:p>
    <w:p w14:paraId="3C9F5E5C" w14:textId="77777777" w:rsidR="00EE24C8" w:rsidRDefault="00EE24C8">
      <w:pPr>
        <w:jc w:val="center"/>
        <w:rPr>
          <w:rFonts w:ascii="Times New Roman" w:hAnsi="Times New Roman"/>
        </w:rPr>
      </w:pPr>
    </w:p>
    <w:p w14:paraId="48F3B435" w14:textId="77777777" w:rsidR="00EE24C8" w:rsidRDefault="00EE24C8">
      <w:pPr>
        <w:jc w:val="center"/>
        <w:rPr>
          <w:rFonts w:ascii="Times New Roman" w:hAnsi="Times New Roman"/>
        </w:rPr>
      </w:pPr>
    </w:p>
    <w:p w14:paraId="4855255A" w14:textId="77777777" w:rsidR="00EE24C8" w:rsidRDefault="00EE24C8">
      <w:pPr>
        <w:jc w:val="center"/>
        <w:rPr>
          <w:rFonts w:ascii="Times New Roman" w:hAnsi="Times New Roman"/>
        </w:rPr>
      </w:pPr>
    </w:p>
    <w:p w14:paraId="0586CE35" w14:textId="77777777" w:rsidR="00EE24C8" w:rsidRDefault="00EE24C8">
      <w:pPr>
        <w:jc w:val="center"/>
        <w:rPr>
          <w:rFonts w:ascii="Times New Roman" w:hAnsi="Times New Roman"/>
        </w:rPr>
      </w:pPr>
    </w:p>
    <w:p w14:paraId="1FA178EF" w14:textId="77777777" w:rsidR="00EE24C8" w:rsidRDefault="00EE24C8">
      <w:pPr>
        <w:jc w:val="center"/>
        <w:rPr>
          <w:rFonts w:ascii="Times New Roman" w:hAnsi="Times New Roman"/>
        </w:rPr>
      </w:pPr>
    </w:p>
    <w:p w14:paraId="10A92CB6" w14:textId="77777777" w:rsidR="00EE24C8" w:rsidRDefault="00EE24C8">
      <w:pPr>
        <w:jc w:val="center"/>
        <w:rPr>
          <w:rFonts w:ascii="Times New Roman" w:hAnsi="Times New Roman"/>
        </w:rPr>
      </w:pPr>
    </w:p>
    <w:p w14:paraId="45250B52" w14:textId="77777777" w:rsidR="00EE24C8" w:rsidRDefault="00EE24C8">
      <w:pPr>
        <w:jc w:val="center"/>
        <w:rPr>
          <w:rFonts w:ascii="Times New Roman" w:hAnsi="Times New Roman"/>
        </w:rPr>
      </w:pPr>
    </w:p>
    <w:p w14:paraId="39303463" w14:textId="77777777" w:rsidR="00EE24C8" w:rsidRDefault="00EE24C8">
      <w:pPr>
        <w:jc w:val="center"/>
        <w:rPr>
          <w:rFonts w:ascii="Times New Roman" w:hAnsi="Times New Roman"/>
        </w:rPr>
      </w:pPr>
    </w:p>
    <w:p w14:paraId="09568D83" w14:textId="77777777" w:rsidR="00EE24C8" w:rsidRDefault="00EE24C8">
      <w:pPr>
        <w:jc w:val="center"/>
        <w:rPr>
          <w:rFonts w:ascii="Times New Roman" w:hAnsi="Times New Roman"/>
        </w:rPr>
      </w:pPr>
    </w:p>
    <w:p w14:paraId="587FA25F" w14:textId="77777777" w:rsidR="00EE24C8" w:rsidRDefault="00EE24C8">
      <w:pPr>
        <w:jc w:val="center"/>
        <w:rPr>
          <w:rFonts w:ascii="Times New Roman" w:hAnsi="Times New Roman"/>
        </w:rPr>
      </w:pPr>
    </w:p>
    <w:p w14:paraId="3384F0CD" w14:textId="77777777" w:rsidR="00EE24C8" w:rsidRDefault="00EE24C8">
      <w:pPr>
        <w:jc w:val="center"/>
        <w:rPr>
          <w:rFonts w:ascii="Times New Roman" w:hAnsi="Times New Roman"/>
        </w:rPr>
      </w:pPr>
    </w:p>
    <w:p w14:paraId="0E16BD98" w14:textId="77777777" w:rsidR="00EE24C8" w:rsidRDefault="00EE24C8">
      <w:pPr>
        <w:jc w:val="center"/>
        <w:rPr>
          <w:rFonts w:ascii="Times New Roman" w:hAnsi="Times New Roman"/>
        </w:rPr>
      </w:pPr>
    </w:p>
    <w:p w14:paraId="197430E2" w14:textId="77777777" w:rsidR="00EE24C8" w:rsidRDefault="00EE24C8">
      <w:pPr>
        <w:jc w:val="center"/>
        <w:rPr>
          <w:rFonts w:ascii="Times New Roman" w:hAnsi="Times New Roman"/>
        </w:rPr>
      </w:pPr>
    </w:p>
    <w:p w14:paraId="19841E94" w14:textId="77777777" w:rsidR="00EE24C8" w:rsidRDefault="00EE24C8">
      <w:pPr>
        <w:jc w:val="center"/>
        <w:rPr>
          <w:rFonts w:ascii="Times New Roman" w:hAnsi="Times New Roman"/>
        </w:rPr>
      </w:pPr>
    </w:p>
    <w:p w14:paraId="7C95CA63" w14:textId="77777777" w:rsidR="00EE24C8" w:rsidRDefault="00EE24C8">
      <w:pPr>
        <w:jc w:val="center"/>
        <w:rPr>
          <w:rFonts w:ascii="Times New Roman" w:hAnsi="Times New Roman"/>
        </w:rPr>
      </w:pPr>
    </w:p>
    <w:p w14:paraId="198221C4" w14:textId="77777777" w:rsidR="00EE24C8" w:rsidRDefault="00EE24C8">
      <w:pPr>
        <w:jc w:val="center"/>
        <w:rPr>
          <w:rFonts w:ascii="Times New Roman" w:hAnsi="Times New Roman"/>
        </w:rPr>
      </w:pPr>
    </w:p>
    <w:p w14:paraId="305621F6" w14:textId="77777777" w:rsidR="00EE24C8" w:rsidRDefault="00EE24C8">
      <w:pPr>
        <w:jc w:val="center"/>
        <w:rPr>
          <w:rFonts w:ascii="Times New Roman" w:hAnsi="Times New Roman"/>
        </w:rPr>
      </w:pPr>
    </w:p>
    <w:p w14:paraId="7361B853" w14:textId="77777777" w:rsidR="00EE24C8" w:rsidRDefault="00EE24C8">
      <w:pPr>
        <w:jc w:val="center"/>
        <w:rPr>
          <w:rFonts w:ascii="Times New Roman" w:hAnsi="Times New Roman"/>
        </w:rPr>
      </w:pPr>
    </w:p>
    <w:p w14:paraId="06E93FD1" w14:textId="77777777" w:rsidR="00EE24C8" w:rsidRDefault="00EE24C8">
      <w:pPr>
        <w:jc w:val="center"/>
        <w:rPr>
          <w:rFonts w:ascii="Times New Roman" w:hAnsi="Times New Roman"/>
        </w:rPr>
      </w:pPr>
    </w:p>
    <w:p w14:paraId="3D41EB8D" w14:textId="77777777" w:rsidR="00EE24C8" w:rsidRDefault="00EE24C8">
      <w:pPr>
        <w:jc w:val="center"/>
        <w:rPr>
          <w:rFonts w:ascii="Times New Roman" w:hAnsi="Times New Roman"/>
        </w:rPr>
      </w:pPr>
    </w:p>
    <w:p w14:paraId="24F643A9" w14:textId="77777777" w:rsidR="00EE24C8" w:rsidRDefault="00EE24C8">
      <w:pPr>
        <w:jc w:val="center"/>
        <w:rPr>
          <w:rFonts w:ascii="Times New Roman" w:hAnsi="Times New Roman"/>
        </w:rPr>
      </w:pPr>
    </w:p>
    <w:p w14:paraId="168E7028" w14:textId="77777777" w:rsidR="00EE24C8" w:rsidRDefault="00EE24C8">
      <w:pPr>
        <w:jc w:val="center"/>
        <w:rPr>
          <w:rFonts w:ascii="Times New Roman" w:hAnsi="Times New Roman"/>
        </w:rPr>
      </w:pPr>
    </w:p>
    <w:p w14:paraId="71716620" w14:textId="77777777" w:rsidR="00EE24C8" w:rsidRDefault="00000000">
      <w:pPr>
        <w:jc w:val="center"/>
        <w:rPr>
          <w:rFonts w:ascii="Times New Roman" w:eastAsia="方正楷体简体" w:hAnsi="Times New Roman"/>
          <w:sz w:val="32"/>
          <w:szCs w:val="32"/>
        </w:rPr>
      </w:pPr>
      <w:r>
        <w:rPr>
          <w:rFonts w:ascii="Times New Roman" w:eastAsia="方正楷体简体" w:hAnsi="Times New Roman"/>
          <w:sz w:val="32"/>
          <w:szCs w:val="32"/>
        </w:rPr>
        <w:t>泉州市鲤城区住房和城乡建设局</w:t>
      </w:r>
    </w:p>
    <w:p w14:paraId="2667D14A" w14:textId="77777777" w:rsidR="00EE24C8" w:rsidRDefault="00000000">
      <w:pPr>
        <w:jc w:val="center"/>
        <w:rPr>
          <w:rFonts w:ascii="Times New Roman" w:eastAsia="方正楷体简体" w:hAnsi="Times New Roman"/>
          <w:sz w:val="32"/>
          <w:szCs w:val="32"/>
        </w:rPr>
      </w:pPr>
      <w:r>
        <w:rPr>
          <w:rFonts w:ascii="Times New Roman" w:eastAsia="方正楷体简体" w:hAnsi="Times New Roman"/>
          <w:sz w:val="32"/>
          <w:szCs w:val="32"/>
        </w:rPr>
        <w:t>2024</w:t>
      </w:r>
      <w:r>
        <w:rPr>
          <w:rFonts w:ascii="Times New Roman" w:eastAsia="方正楷体简体" w:hAnsi="Times New Roman"/>
          <w:sz w:val="32"/>
          <w:szCs w:val="32"/>
        </w:rPr>
        <w:t>年</w:t>
      </w:r>
      <w:r>
        <w:rPr>
          <w:rFonts w:ascii="Times New Roman" w:eastAsia="方正楷体简体" w:hAnsi="Times New Roman"/>
          <w:sz w:val="32"/>
          <w:szCs w:val="32"/>
        </w:rPr>
        <w:t>11</w:t>
      </w:r>
      <w:r>
        <w:rPr>
          <w:rFonts w:ascii="Times New Roman" w:eastAsia="方正楷体简体" w:hAnsi="Times New Roman"/>
          <w:sz w:val="32"/>
          <w:szCs w:val="32"/>
        </w:rPr>
        <w:t>月</w:t>
      </w:r>
    </w:p>
    <w:p w14:paraId="77D4BA81" w14:textId="77777777" w:rsidR="00EE24C8" w:rsidRDefault="00EE24C8">
      <w:pPr>
        <w:jc w:val="center"/>
        <w:rPr>
          <w:rFonts w:ascii="Times New Roman" w:hAnsi="Times New Roman"/>
          <w:sz w:val="32"/>
          <w:szCs w:val="32"/>
        </w:rPr>
      </w:pPr>
    </w:p>
    <w:p w14:paraId="3703D0AA"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lastRenderedPageBreak/>
        <w:t>为切实推动城市片区更新，提升城市建设品质，改善基础设施条件及周边人居环境，经泉州市人民政府批准，决定组织实施古城危旧老旧片区改造提升项目（财贸干校宿舍楼地块），推动实现房屋以旧换新。本着维护业主合法权益，确保改造更新项目顺利实施的宗旨，根据有关法律、法规及政策规定，结合本区域实际情况，制定本方案。</w:t>
      </w:r>
    </w:p>
    <w:p w14:paraId="2868CF85" w14:textId="77777777" w:rsidR="00EE24C8"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一、总体目标</w:t>
      </w:r>
    </w:p>
    <w:p w14:paraId="57EDD8E9"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通过全面改造更新，科学规划建筑布局，改善群众居住环境，提升公共配套服务能力，保障群众生命财产安全，致力打造安全、舒适、宜居的现代化社区。</w:t>
      </w:r>
    </w:p>
    <w:p w14:paraId="5AA75A4E" w14:textId="77777777" w:rsidR="00EE24C8"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二、基本原则</w:t>
      </w:r>
    </w:p>
    <w:p w14:paraId="61403F3F"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实行政府统一收储改造更新和定向定价商品房模式，由政府指定单位负责组织项目改造更新相关前期工作。改造更新资金来</w:t>
      </w:r>
      <w:r>
        <w:rPr>
          <w:rFonts w:ascii="方正仿宋简体" w:eastAsia="方正仿宋简体" w:hAnsi="方正仿宋简体" w:cs="方正仿宋简体" w:hint="eastAsia"/>
          <w:sz w:val="32"/>
          <w:szCs w:val="32"/>
        </w:rPr>
        <w:t>源为“业主出资+政府补助”，全</w:t>
      </w:r>
      <w:r>
        <w:rPr>
          <w:rFonts w:ascii="Times New Roman" w:eastAsia="方正仿宋简体" w:hAnsi="Times New Roman"/>
          <w:sz w:val="32"/>
          <w:szCs w:val="32"/>
        </w:rPr>
        <w:t>体业主共同承担改造更新成本，政府统筹周边地块重新进行规划布局，建设完善基础配套设施和公共服务设施，对业主需要承担的改造更新成本给予适当优惠。</w:t>
      </w:r>
    </w:p>
    <w:p w14:paraId="78C736B7" w14:textId="77777777" w:rsidR="00EE24C8"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三、实施对象</w:t>
      </w:r>
    </w:p>
    <w:p w14:paraId="0D8AFABA"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实施对象为财贸干校宿舍楼范围内拥有合法产权的房屋及其所有权人，合法产权的认定以《土地使用权证》、《房屋所有权证》或《不动产权证》登记的用途，或规划、土地管理部门颁发的合法有效文件为依据。对因历史原因未取得产权的房屋，经批准完成遗留问题处置后，按本方案规定实施。</w:t>
      </w:r>
    </w:p>
    <w:p w14:paraId="27C168F2" w14:textId="77777777" w:rsidR="00EE24C8"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四、实施步骤</w:t>
      </w:r>
    </w:p>
    <w:p w14:paraId="41E3C84E"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为保障改造更新过程顺利推进，保障改造更新后的房屋手续完整合法有效，按照《泉州市住房和城乡建设局泉州市自然资源和规划局关于推广定向定价商品房安置模式的通知》精神，项目实施分为五个步骤：</w:t>
      </w:r>
    </w:p>
    <w:p w14:paraId="5A88419C" w14:textId="77777777" w:rsidR="00EE24C8" w:rsidRDefault="00000000">
      <w:pPr>
        <w:spacing w:line="600" w:lineRule="exact"/>
        <w:ind w:firstLineChars="200" w:firstLine="643"/>
        <w:rPr>
          <w:rFonts w:ascii="Times New Roman" w:eastAsia="楷体" w:hAnsi="Times New Roman"/>
          <w:b/>
          <w:sz w:val="32"/>
          <w:szCs w:val="32"/>
        </w:rPr>
      </w:pPr>
      <w:r>
        <w:rPr>
          <w:rFonts w:ascii="Times New Roman" w:eastAsia="楷体" w:hAnsi="Times New Roman"/>
          <w:b/>
          <w:sz w:val="32"/>
          <w:szCs w:val="32"/>
        </w:rPr>
        <w:t>（一）房屋征收</w:t>
      </w:r>
    </w:p>
    <w:p w14:paraId="3849DF61"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房屋征收部门采取征收方式对现状危旧房屋进行征收，与房屋所有权人签订《红梅新村危旧房屋改造更新项目房屋征收补偿协议书》。</w:t>
      </w:r>
    </w:p>
    <w:p w14:paraId="050B60B0" w14:textId="77777777" w:rsidR="00EE24C8" w:rsidRDefault="00000000">
      <w:pPr>
        <w:spacing w:line="600" w:lineRule="exact"/>
        <w:ind w:firstLineChars="200" w:firstLine="643"/>
        <w:rPr>
          <w:rFonts w:ascii="Times New Roman" w:eastAsia="楷体" w:hAnsi="Times New Roman"/>
          <w:b/>
          <w:sz w:val="32"/>
          <w:szCs w:val="32"/>
        </w:rPr>
      </w:pPr>
      <w:r>
        <w:rPr>
          <w:rFonts w:ascii="Times New Roman" w:eastAsia="楷体" w:hAnsi="Times New Roman"/>
          <w:b/>
          <w:sz w:val="32"/>
          <w:szCs w:val="32"/>
        </w:rPr>
        <w:t>（二）净地出让</w:t>
      </w:r>
    </w:p>
    <w:p w14:paraId="2088E840"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房屋腾空并完成拆除，土地达到净地条件，报请泉州市人民政府同意后，由市直主管部门按规定办理土地收储、下达规划条件、组织土地出让。</w:t>
      </w:r>
    </w:p>
    <w:p w14:paraId="3F42AE73" w14:textId="77777777" w:rsidR="00EE24C8" w:rsidRDefault="00000000">
      <w:pPr>
        <w:spacing w:line="600" w:lineRule="exact"/>
        <w:ind w:firstLineChars="200" w:firstLine="643"/>
        <w:rPr>
          <w:rFonts w:ascii="Times New Roman" w:eastAsia="楷体" w:hAnsi="Times New Roman"/>
          <w:b/>
          <w:sz w:val="32"/>
          <w:szCs w:val="32"/>
        </w:rPr>
      </w:pPr>
      <w:r>
        <w:rPr>
          <w:rFonts w:ascii="Times New Roman" w:eastAsia="楷体" w:hAnsi="Times New Roman"/>
          <w:b/>
          <w:sz w:val="32"/>
          <w:szCs w:val="32"/>
        </w:rPr>
        <w:t>（三）房屋建设</w:t>
      </w:r>
    </w:p>
    <w:p w14:paraId="7C2B4B63"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建设单位竞得土地后，按规定程序申请办理各项报批报建手续，组织开展方案设计、实施项目建设，新建定向定价商品房及基础配套设施、公共服务设施。</w:t>
      </w:r>
    </w:p>
    <w:p w14:paraId="23F81E76" w14:textId="77777777" w:rsidR="00EE24C8" w:rsidRDefault="00000000">
      <w:pPr>
        <w:spacing w:line="600" w:lineRule="exact"/>
        <w:ind w:firstLineChars="200" w:firstLine="643"/>
        <w:rPr>
          <w:rFonts w:ascii="Times New Roman" w:eastAsia="楷体" w:hAnsi="Times New Roman"/>
          <w:b/>
          <w:sz w:val="32"/>
          <w:szCs w:val="32"/>
        </w:rPr>
      </w:pPr>
      <w:r>
        <w:rPr>
          <w:rFonts w:ascii="Times New Roman" w:eastAsia="楷体" w:hAnsi="Times New Roman"/>
          <w:b/>
          <w:sz w:val="32"/>
          <w:szCs w:val="32"/>
        </w:rPr>
        <w:t>（四）业主购房</w:t>
      </w:r>
    </w:p>
    <w:p w14:paraId="00B55456"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房屋征收部门与房屋所有权人签订征收补偿协议书时，约定购买新建定向定价商品房的面积、价格、结算方式等，房屋所有权人转作购房人。新建定向定价商品房建成后组织选房，购房人按照选房顺序、选房规则完成选房。</w:t>
      </w:r>
    </w:p>
    <w:p w14:paraId="477114F3" w14:textId="77777777" w:rsidR="00EE24C8" w:rsidRDefault="00000000">
      <w:pPr>
        <w:spacing w:line="600" w:lineRule="exact"/>
        <w:ind w:firstLineChars="200" w:firstLine="643"/>
        <w:rPr>
          <w:rFonts w:ascii="Times New Roman" w:eastAsia="楷体" w:hAnsi="Times New Roman"/>
          <w:b/>
          <w:sz w:val="32"/>
          <w:szCs w:val="32"/>
        </w:rPr>
      </w:pPr>
      <w:r>
        <w:rPr>
          <w:rFonts w:ascii="Times New Roman" w:eastAsia="楷体" w:hAnsi="Times New Roman"/>
          <w:b/>
          <w:sz w:val="32"/>
          <w:szCs w:val="32"/>
        </w:rPr>
        <w:lastRenderedPageBreak/>
        <w:t>（五）签订合同</w:t>
      </w:r>
    </w:p>
    <w:p w14:paraId="583D8079"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购房人完成选房后，房屋征收部门、销售单位与购房人签订《安置补充协议书》，购房人依据协议结清相关款项；销售单位与购房人签订《商品房买卖合同》，配合网签备案、开具购房发票、办理不动产登记等相关事项。</w:t>
      </w:r>
    </w:p>
    <w:p w14:paraId="4A76913A" w14:textId="77777777" w:rsidR="00EE24C8"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五、具体办法</w:t>
      </w:r>
    </w:p>
    <w:p w14:paraId="41AE2DCB"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（一）房屋权属认定</w:t>
      </w:r>
    </w:p>
    <w:p w14:paraId="521FA8C6"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房屋合法产权的认定，以《土地使用权证》、《房屋所有权证》或《不动产权证》登记的用途，或规划、土地管理部门颁发的合法有效文件为依据。房屋面积由具有房地产测绘资质的测量单位，依据国家、省、市现行房地产测绘技术规范进行测量，以实际测量的建筑面积进行计算和补偿。</w:t>
      </w:r>
    </w:p>
    <w:p w14:paraId="239AA094" w14:textId="77777777" w:rsidR="00EE24C8" w:rsidRDefault="00000000">
      <w:pPr>
        <w:spacing w:line="600" w:lineRule="exact"/>
        <w:ind w:firstLineChars="200" w:firstLine="643"/>
        <w:contextualSpacing/>
        <w:rPr>
          <w:rFonts w:ascii="方正楷体简体" w:eastAsia="方正楷体简体" w:hAnsi="方正楷体简体" w:cs="方正楷体简体" w:hint="eastAsia"/>
          <w:b/>
          <w:sz w:val="32"/>
          <w:szCs w:val="32"/>
        </w:rPr>
      </w:pPr>
      <w:r>
        <w:rPr>
          <w:rFonts w:ascii="Times New Roman" w:eastAsia="楷体" w:hAnsi="Times New Roman"/>
          <w:b/>
          <w:sz w:val="32"/>
          <w:szCs w:val="32"/>
        </w:rPr>
        <w:t>（二）</w:t>
      </w:r>
      <w:r>
        <w:rPr>
          <w:rFonts w:ascii="方正楷体简体" w:eastAsia="方正楷体简体" w:hAnsi="方正楷体简体" w:cs="方正楷体简体" w:hint="eastAsia"/>
          <w:b/>
          <w:sz w:val="32"/>
          <w:szCs w:val="32"/>
        </w:rPr>
        <w:t>“住改非”房屋</w:t>
      </w:r>
    </w:p>
    <w:p w14:paraId="7E0F0FC6"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方正仿宋简体" w:eastAsia="方正仿宋简体" w:hAnsi="方正仿宋简体" w:cs="方正仿宋简体"/>
          <w:sz w:val="32"/>
          <w:szCs w:val="32"/>
        </w:rPr>
        <w:t>“住改非”房屋</w:t>
      </w:r>
      <w:r>
        <w:rPr>
          <w:rFonts w:ascii="Times New Roman" w:eastAsia="方正仿宋简体" w:hAnsi="Times New Roman"/>
          <w:sz w:val="32"/>
          <w:szCs w:val="32"/>
        </w:rPr>
        <w:t>指对未能提供有效证件、使用位于城市主次干道或主要支路临街底层住宅作为经营性用房的情况。</w:t>
      </w:r>
    </w:p>
    <w:p w14:paraId="22DD201C"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持有在红线范围公告之日前办理、且仍为有效的工商营业执照，进行征收时仍在经营的房屋，可认定</w:t>
      </w:r>
      <w:r>
        <w:rPr>
          <w:rFonts w:ascii="方正仿宋简体" w:eastAsia="方正仿宋简体" w:hAnsi="方正仿宋简体" w:cs="方正仿宋简体"/>
          <w:sz w:val="32"/>
          <w:szCs w:val="32"/>
        </w:rPr>
        <w:t>为“住改非”房屋</w:t>
      </w:r>
      <w:r>
        <w:rPr>
          <w:rFonts w:ascii="Times New Roman" w:eastAsia="方正仿宋简体" w:hAnsi="Times New Roman"/>
          <w:sz w:val="32"/>
          <w:szCs w:val="32"/>
        </w:rPr>
        <w:t>，进深以原建筑结构临街底层第一自然间计算，最多不超过</w:t>
      </w:r>
      <w:r>
        <w:rPr>
          <w:rFonts w:ascii="Times New Roman" w:eastAsia="方正仿宋简体" w:hAnsi="Times New Roman"/>
          <w:sz w:val="32"/>
          <w:szCs w:val="32"/>
        </w:rPr>
        <w:t>8</w:t>
      </w:r>
      <w:r>
        <w:rPr>
          <w:rFonts w:ascii="Times New Roman" w:eastAsia="方正仿宋简体" w:hAnsi="Times New Roman"/>
          <w:sz w:val="32"/>
          <w:szCs w:val="32"/>
        </w:rPr>
        <w:t>米。</w:t>
      </w:r>
    </w:p>
    <w:p w14:paraId="18258B58"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认定</w:t>
      </w:r>
      <w:r>
        <w:rPr>
          <w:rFonts w:ascii="方正仿宋简体" w:eastAsia="方正仿宋简体" w:hAnsi="方正仿宋简体" w:cs="方正仿宋简体"/>
          <w:sz w:val="32"/>
          <w:szCs w:val="32"/>
        </w:rPr>
        <w:t>为“住改非”的房</w:t>
      </w:r>
      <w:r>
        <w:rPr>
          <w:rFonts w:ascii="Times New Roman" w:eastAsia="方正仿宋简体" w:hAnsi="Times New Roman"/>
          <w:sz w:val="32"/>
          <w:szCs w:val="32"/>
        </w:rPr>
        <w:t>屋，一律按本方案规定的住宅相对应的标准给予测量、计算和补偿。房屋所有权人对本方案房屋补偿参考价无异议，在政府公告规定的签约期限内签订协议并按时搬迁的，给予</w:t>
      </w:r>
      <w:r>
        <w:rPr>
          <w:rFonts w:ascii="Times New Roman" w:eastAsia="方正仿宋简体" w:hAnsi="Times New Roman"/>
          <w:sz w:val="32"/>
          <w:szCs w:val="32"/>
        </w:rPr>
        <w:t>1000</w:t>
      </w:r>
      <w:r>
        <w:rPr>
          <w:rFonts w:ascii="Times New Roman" w:eastAsia="方正仿宋简体" w:hAnsi="Times New Roman"/>
          <w:sz w:val="32"/>
          <w:szCs w:val="32"/>
        </w:rPr>
        <w:t>元</w:t>
      </w:r>
      <w:r>
        <w:rPr>
          <w:rFonts w:ascii="Times New Roman" w:eastAsia="方正仿宋简体" w:hAnsi="Times New Roman"/>
          <w:sz w:val="32"/>
          <w:szCs w:val="32"/>
        </w:rPr>
        <w:t>/</w:t>
      </w:r>
      <w:r>
        <w:rPr>
          <w:rFonts w:ascii="Times New Roman" w:eastAsia="方正仿宋简体" w:hAnsi="Times New Roman"/>
          <w:sz w:val="32"/>
          <w:szCs w:val="32"/>
        </w:rPr>
        <w:t>㎡的一次性终止经营补贴。</w:t>
      </w:r>
    </w:p>
    <w:p w14:paraId="735F7925"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lastRenderedPageBreak/>
        <w:t>（三）补偿价格确定</w:t>
      </w:r>
    </w:p>
    <w:p w14:paraId="30B779E7"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z w:val="32"/>
          <w:szCs w:val="32"/>
        </w:rPr>
        <w:t>补偿参考价。根据泉州市人民政府办公室《关于印发泉州市推进房屋征收补偿安置工作若干意见和泉州市高层次人才安居保障规定的通知》（泉政办〔</w:t>
      </w:r>
      <w:r>
        <w:rPr>
          <w:rFonts w:ascii="Times New Roman" w:eastAsia="方正仿宋简体" w:hAnsi="Times New Roman"/>
          <w:sz w:val="32"/>
          <w:szCs w:val="32"/>
        </w:rPr>
        <w:t>2022</w:t>
      </w:r>
      <w:r>
        <w:rPr>
          <w:rFonts w:ascii="Times New Roman" w:eastAsia="方正仿宋简体" w:hAnsi="Times New Roman"/>
          <w:sz w:val="32"/>
          <w:szCs w:val="32"/>
        </w:rPr>
        <w:t>〕</w:t>
      </w:r>
      <w:r>
        <w:rPr>
          <w:rFonts w:ascii="Times New Roman" w:eastAsia="方正仿宋简体" w:hAnsi="Times New Roman"/>
          <w:sz w:val="32"/>
          <w:szCs w:val="32"/>
        </w:rPr>
        <w:t>9</w:t>
      </w:r>
      <w:r>
        <w:rPr>
          <w:rFonts w:ascii="Times New Roman" w:eastAsia="方正仿宋简体" w:hAnsi="Times New Roman"/>
          <w:sz w:val="32"/>
          <w:szCs w:val="32"/>
        </w:rPr>
        <w:t>号）、《泉州市住房和城乡建设局</w:t>
      </w:r>
      <w:r>
        <w:rPr>
          <w:rFonts w:ascii="Times New Roman" w:eastAsia="方正仿宋简体" w:hAnsi="Times New Roman"/>
          <w:sz w:val="32"/>
          <w:szCs w:val="32"/>
        </w:rPr>
        <w:t xml:space="preserve"> </w:t>
      </w:r>
      <w:r>
        <w:rPr>
          <w:rFonts w:ascii="Times New Roman" w:eastAsia="方正仿宋简体" w:hAnsi="Times New Roman"/>
          <w:sz w:val="32"/>
          <w:szCs w:val="32"/>
        </w:rPr>
        <w:t>泉州市自然资源和规划局关于推广定向定价商品房安置模式的通知》（泉建规〔</w:t>
      </w:r>
      <w:r>
        <w:rPr>
          <w:rFonts w:ascii="Times New Roman" w:eastAsia="方正仿宋简体" w:hAnsi="Times New Roman"/>
          <w:sz w:val="32"/>
          <w:szCs w:val="32"/>
        </w:rPr>
        <w:t>2023</w:t>
      </w:r>
      <w:r>
        <w:rPr>
          <w:rFonts w:ascii="Times New Roman" w:eastAsia="方正仿宋简体" w:hAnsi="Times New Roman"/>
          <w:sz w:val="32"/>
          <w:szCs w:val="32"/>
        </w:rPr>
        <w:t>〕</w:t>
      </w:r>
      <w:r>
        <w:rPr>
          <w:rFonts w:ascii="Times New Roman" w:eastAsia="方正仿宋简体" w:hAnsi="Times New Roman"/>
          <w:sz w:val="32"/>
          <w:szCs w:val="32"/>
        </w:rPr>
        <w:t>2</w:t>
      </w:r>
      <w:r>
        <w:rPr>
          <w:rFonts w:ascii="Times New Roman" w:eastAsia="方正仿宋简体" w:hAnsi="Times New Roman"/>
          <w:sz w:val="32"/>
          <w:szCs w:val="32"/>
        </w:rPr>
        <w:t>号）的规定，通过泉州市房屋征收与房地产评估行业协会公开摇号确定</w:t>
      </w:r>
      <w:r>
        <w:rPr>
          <w:rFonts w:ascii="Times New Roman" w:eastAsia="方正仿宋简体" w:hAnsi="Times New Roman"/>
          <w:sz w:val="32"/>
          <w:szCs w:val="32"/>
        </w:rPr>
        <w:t>5</w:t>
      </w:r>
      <w:r>
        <w:rPr>
          <w:rFonts w:ascii="Times New Roman" w:eastAsia="方正仿宋简体" w:hAnsi="Times New Roman"/>
          <w:sz w:val="32"/>
          <w:szCs w:val="32"/>
        </w:rPr>
        <w:t>家具有相应资质的评估机构进行基准价评估，</w:t>
      </w:r>
      <w:r>
        <w:rPr>
          <w:rFonts w:ascii="方正仿宋简体" w:eastAsia="方正仿宋简体" w:hAnsi="方正仿宋简体" w:cs="方正仿宋简体" w:hint="eastAsia"/>
          <w:sz w:val="32"/>
          <w:szCs w:val="32"/>
        </w:rPr>
        <w:t>采取“截尾均值”方法</w:t>
      </w:r>
      <w:r>
        <w:rPr>
          <w:rFonts w:ascii="Times New Roman" w:eastAsia="方正仿宋简体" w:hAnsi="Times New Roman"/>
          <w:sz w:val="32"/>
          <w:szCs w:val="32"/>
        </w:rPr>
        <w:t>确定本项目房屋征收的补偿参考价。</w:t>
      </w:r>
    </w:p>
    <w:p w14:paraId="09CC5755"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sz w:val="32"/>
          <w:szCs w:val="32"/>
        </w:rPr>
        <w:t>分户评估价。房屋所有权人对本方案房屋补偿参考价有异议的，由依法选定的房地产价格评估机构对房屋价值进行分户评估，出具《房地产估价报告》，以估价结果作为补偿依据。选择分户评估且选择购买定向定价商品房的，还应同时对用于定向定价商品房的市场价值进行评估，并计算、结清定向定价商品房市场价值与被征收房屋价值的差价。</w:t>
      </w:r>
    </w:p>
    <w:p w14:paraId="7F3F0522"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sz w:val="32"/>
          <w:szCs w:val="32"/>
        </w:rPr>
        <w:t>房屋所有权人或者房屋征收部门对房屋评估价值有异议的，可以自收到估价报告之日起</w:t>
      </w:r>
      <w:r>
        <w:rPr>
          <w:rFonts w:ascii="Times New Roman" w:eastAsia="方正仿宋简体" w:hAnsi="Times New Roman"/>
          <w:sz w:val="32"/>
          <w:szCs w:val="32"/>
        </w:rPr>
        <w:t>10</w:t>
      </w:r>
      <w:r>
        <w:rPr>
          <w:rFonts w:ascii="Times New Roman" w:eastAsia="方正仿宋简体" w:hAnsi="Times New Roman"/>
          <w:sz w:val="32"/>
          <w:szCs w:val="32"/>
        </w:rPr>
        <w:t>日内向原房地产价格评估机构申请复核。对复核结果仍有异议的，可以自收到复核结果之日起</w:t>
      </w:r>
      <w:r>
        <w:rPr>
          <w:rFonts w:ascii="Times New Roman" w:eastAsia="方正仿宋简体" w:hAnsi="Times New Roman"/>
          <w:sz w:val="32"/>
          <w:szCs w:val="32"/>
        </w:rPr>
        <w:t>10</w:t>
      </w:r>
      <w:r>
        <w:rPr>
          <w:rFonts w:ascii="Times New Roman" w:eastAsia="方正仿宋简体" w:hAnsi="Times New Roman"/>
          <w:sz w:val="32"/>
          <w:szCs w:val="32"/>
        </w:rPr>
        <w:t>日内向泉州市房屋征收评估鉴定专家委员会申请鉴定。</w:t>
      </w:r>
    </w:p>
    <w:p w14:paraId="2FB4DE77"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（四）货币补偿办法</w:t>
      </w:r>
    </w:p>
    <w:p w14:paraId="48C75179"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z w:val="32"/>
          <w:szCs w:val="32"/>
        </w:rPr>
        <w:t>房屋货币补偿总额包括房屋重置价值补偿（含土地价值补偿、建安费用补偿）、装修补偿、附属物补偿、搬迁补助、临时</w:t>
      </w:r>
      <w:r>
        <w:rPr>
          <w:rFonts w:ascii="Times New Roman" w:eastAsia="方正仿宋简体" w:hAnsi="Times New Roman"/>
          <w:sz w:val="32"/>
          <w:szCs w:val="32"/>
        </w:rPr>
        <w:lastRenderedPageBreak/>
        <w:t>安置费及相关奖励款项等。</w:t>
      </w:r>
    </w:p>
    <w:p w14:paraId="218D6B6C"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sz w:val="32"/>
          <w:szCs w:val="32"/>
        </w:rPr>
        <w:t>补偿单价按附表一、附表三所列标准计算，成套住宅配建的储藏间，按测量面积的</w:t>
      </w:r>
      <w:r>
        <w:rPr>
          <w:rFonts w:ascii="Times New Roman" w:eastAsia="方正仿宋简体" w:hAnsi="Times New Roman"/>
          <w:sz w:val="32"/>
          <w:szCs w:val="32"/>
        </w:rPr>
        <w:t>75%</w:t>
      </w:r>
      <w:r>
        <w:rPr>
          <w:rFonts w:ascii="Times New Roman" w:eastAsia="方正仿宋简体" w:hAnsi="Times New Roman"/>
          <w:sz w:val="32"/>
          <w:szCs w:val="32"/>
        </w:rPr>
        <w:t>给予认定和计算补偿，储藏间及公摊不计算装修补偿。</w:t>
      </w:r>
    </w:p>
    <w:p w14:paraId="495EC741"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sz w:val="32"/>
          <w:szCs w:val="32"/>
        </w:rPr>
        <w:t>房屋所有权人选择货币补偿，且不购买就地新建定向定价商品房、异地新建定向定价商品房或指定存量房源的，其货币补偿款自签订协议并按时搬迁后一次性发放。</w:t>
      </w:r>
    </w:p>
    <w:p w14:paraId="540EEB38"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4.</w:t>
      </w:r>
      <w:r>
        <w:rPr>
          <w:rFonts w:ascii="Times New Roman" w:eastAsia="方正仿宋简体" w:hAnsi="Times New Roman"/>
          <w:sz w:val="32"/>
          <w:szCs w:val="32"/>
        </w:rPr>
        <w:t>属民政部门认定的低保对象且在中心市区无其他住房的房屋所有权人，若其房屋人均建筑面积不足</w:t>
      </w:r>
      <w:r>
        <w:rPr>
          <w:rFonts w:ascii="Times New Roman" w:eastAsia="方正仿宋简体" w:hAnsi="Times New Roman"/>
          <w:sz w:val="32"/>
          <w:szCs w:val="32"/>
        </w:rPr>
        <w:t>20</w:t>
      </w:r>
      <w:r>
        <w:rPr>
          <w:rFonts w:ascii="Times New Roman" w:eastAsia="方正仿宋简体" w:hAnsi="Times New Roman"/>
          <w:sz w:val="32"/>
          <w:szCs w:val="32"/>
        </w:rPr>
        <w:t>㎡，则房屋重置价值补偿按人均建筑面积</w:t>
      </w:r>
      <w:r>
        <w:rPr>
          <w:rFonts w:ascii="Times New Roman" w:eastAsia="方正仿宋简体" w:hAnsi="Times New Roman"/>
          <w:sz w:val="32"/>
          <w:szCs w:val="32"/>
        </w:rPr>
        <w:t>20</w:t>
      </w:r>
      <w:r>
        <w:rPr>
          <w:rFonts w:ascii="Times New Roman" w:eastAsia="方正仿宋简体" w:hAnsi="Times New Roman"/>
          <w:sz w:val="32"/>
          <w:szCs w:val="32"/>
        </w:rPr>
        <w:t>㎡补足。人均建筑面积</w:t>
      </w:r>
      <w:r>
        <w:rPr>
          <w:rFonts w:ascii="Times New Roman" w:eastAsia="方正仿宋简体" w:hAnsi="Times New Roman"/>
          <w:sz w:val="32"/>
          <w:szCs w:val="32"/>
        </w:rPr>
        <w:t>=</w:t>
      </w:r>
      <w:r>
        <w:rPr>
          <w:rFonts w:ascii="Times New Roman" w:eastAsia="方正仿宋简体" w:hAnsi="Times New Roman"/>
          <w:sz w:val="32"/>
          <w:szCs w:val="32"/>
        </w:rPr>
        <w:t>房屋经认定的可补偿面积</w:t>
      </w:r>
      <w:r>
        <w:rPr>
          <w:rFonts w:ascii="Times New Roman" w:eastAsia="方正仿宋简体" w:hAnsi="Times New Roman"/>
          <w:sz w:val="32"/>
          <w:szCs w:val="32"/>
        </w:rPr>
        <w:t>÷</w:t>
      </w:r>
      <w:r>
        <w:rPr>
          <w:rFonts w:ascii="Times New Roman" w:eastAsia="方正仿宋简体" w:hAnsi="Times New Roman"/>
          <w:sz w:val="32"/>
          <w:szCs w:val="32"/>
        </w:rPr>
        <w:t>房屋征收范围公告前该房屋户口簿记载的人口数（户口簿记载的人口需为房屋所有权人的直系亲属且为常住人口）。</w:t>
      </w:r>
    </w:p>
    <w:p w14:paraId="5B629EAE"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（五）购买定向定价商品房办法</w:t>
      </w:r>
    </w:p>
    <w:p w14:paraId="716E6328"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z w:val="32"/>
          <w:szCs w:val="32"/>
        </w:rPr>
        <w:t>房屋所有权人可以选择购买新建定向定价商品房或指定存量房源。购买就地新建定向定价商品房的，每个产权户可以购买的面积不超过原房屋经认定的可补偿面积。购买异地新建定向定价商品房或指定存量房源的，按本方案规定执行。</w:t>
      </w:r>
    </w:p>
    <w:p w14:paraId="32DEEF97"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sz w:val="32"/>
          <w:szCs w:val="32"/>
        </w:rPr>
        <w:t>就地新建定向定价商品房的价格，通过泉州市房屋征收与房地产评估行业协会公开摇号确定</w:t>
      </w:r>
      <w:r>
        <w:rPr>
          <w:rFonts w:ascii="Times New Roman" w:eastAsia="方正仿宋简体" w:hAnsi="Times New Roman"/>
          <w:sz w:val="32"/>
          <w:szCs w:val="32"/>
        </w:rPr>
        <w:t>5</w:t>
      </w:r>
      <w:r>
        <w:rPr>
          <w:rFonts w:ascii="Times New Roman" w:eastAsia="方正仿宋简体" w:hAnsi="Times New Roman"/>
          <w:sz w:val="32"/>
          <w:szCs w:val="32"/>
        </w:rPr>
        <w:t>家具有相应资质的评估机构进行评估，评估基准价为</w:t>
      </w:r>
      <w:r>
        <w:rPr>
          <w:rFonts w:ascii="Times New Roman" w:eastAsia="方正仿宋简体" w:hAnsi="Times New Roman"/>
          <w:sz w:val="32"/>
          <w:szCs w:val="32"/>
        </w:rPr>
        <w:t>30020</w:t>
      </w:r>
      <w:r>
        <w:rPr>
          <w:rFonts w:ascii="Times New Roman" w:eastAsia="方正仿宋简体" w:hAnsi="Times New Roman"/>
          <w:sz w:val="32"/>
          <w:szCs w:val="32"/>
        </w:rPr>
        <w:t>元</w:t>
      </w:r>
      <w:r>
        <w:rPr>
          <w:rFonts w:ascii="Times New Roman" w:eastAsia="方正仿宋简体" w:hAnsi="Times New Roman"/>
          <w:sz w:val="32"/>
          <w:szCs w:val="32"/>
        </w:rPr>
        <w:t>/</w:t>
      </w:r>
      <w:r>
        <w:rPr>
          <w:rFonts w:ascii="Times New Roman" w:eastAsia="方正仿宋简体" w:hAnsi="Times New Roman"/>
          <w:sz w:val="32"/>
          <w:szCs w:val="32"/>
        </w:rPr>
        <w:t>㎡。房屋所有权人在政府公告规定的签约期限内签订协议并按时搬迁的，给予优惠按</w:t>
      </w:r>
      <w:r>
        <w:rPr>
          <w:rFonts w:ascii="Times New Roman" w:eastAsia="方正仿宋简体" w:hAnsi="Times New Roman"/>
          <w:sz w:val="32"/>
          <w:szCs w:val="32"/>
        </w:rPr>
        <w:t>28690</w:t>
      </w:r>
      <w:r>
        <w:rPr>
          <w:rFonts w:ascii="Times New Roman" w:eastAsia="方正仿宋简体" w:hAnsi="Times New Roman"/>
          <w:sz w:val="32"/>
          <w:szCs w:val="32"/>
        </w:rPr>
        <w:lastRenderedPageBreak/>
        <w:t>元</w:t>
      </w:r>
      <w:r>
        <w:rPr>
          <w:rFonts w:ascii="Times New Roman" w:eastAsia="方正仿宋简体" w:hAnsi="Times New Roman"/>
          <w:sz w:val="32"/>
          <w:szCs w:val="32"/>
        </w:rPr>
        <w:t>/</w:t>
      </w:r>
      <w:r>
        <w:rPr>
          <w:rFonts w:ascii="Times New Roman" w:eastAsia="方正仿宋简体" w:hAnsi="Times New Roman"/>
          <w:sz w:val="32"/>
          <w:szCs w:val="32"/>
        </w:rPr>
        <w:t>㎡结算。本优惠结算价格包含房屋所有权人需要承担的改造更新成本。</w:t>
      </w:r>
    </w:p>
    <w:p w14:paraId="2D9A49A6"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sz w:val="32"/>
          <w:szCs w:val="32"/>
        </w:rPr>
        <w:t>房屋所有权人在政府公告规定的签约期限内签订协议并按时搬迁，选择异地购买古城老城或江南新区范围内新建定向定价商品房或指定存量房源的，所购房源的市场评估价由建设单位按程序评估确定，结算价按就地新建定向定价商品房同等优惠系数（优惠结算价</w:t>
      </w:r>
      <w:r>
        <w:rPr>
          <w:rFonts w:ascii="Times New Roman" w:eastAsia="方正仿宋简体" w:hAnsi="Times New Roman"/>
          <w:sz w:val="32"/>
          <w:szCs w:val="32"/>
        </w:rPr>
        <w:t>÷</w:t>
      </w:r>
      <w:r>
        <w:rPr>
          <w:rFonts w:ascii="Times New Roman" w:eastAsia="方正仿宋简体" w:hAnsi="Times New Roman"/>
          <w:sz w:val="32"/>
          <w:szCs w:val="32"/>
        </w:rPr>
        <w:t>评估基准价）计算，可以购买的面积按就地房源和异地房源等价置换的原则换算。</w:t>
      </w:r>
    </w:p>
    <w:p w14:paraId="13083E53"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4.</w:t>
      </w:r>
      <w:r>
        <w:rPr>
          <w:rFonts w:ascii="Times New Roman" w:eastAsia="方正仿宋简体" w:hAnsi="Times New Roman"/>
          <w:sz w:val="32"/>
          <w:szCs w:val="32"/>
        </w:rPr>
        <w:t>房屋所有权人购买就地新建定向定价商品房、异地新建定向定价商品房或指定存量房源的，按协议约定的购买面积计算购房款，留存相应金额的货币补偿款，剩余的货币补偿款自房屋所有权人签订协议并按时搬迁后一次性发放，若有不足的则在完成选房后一次性缴清。</w:t>
      </w:r>
    </w:p>
    <w:p w14:paraId="3E4BA189"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6.</w:t>
      </w:r>
      <w:r>
        <w:rPr>
          <w:rFonts w:ascii="Times New Roman" w:eastAsia="方正仿宋简体" w:hAnsi="Times New Roman"/>
          <w:sz w:val="32"/>
          <w:szCs w:val="32"/>
        </w:rPr>
        <w:t>搬迁费、临时安置费可以不留存作为购房款，按本方案规定标准和办法发放。房屋所有权人选择将搬迁费、临时安置费留存作为购房款的，临时安置费留存金额按</w:t>
      </w:r>
      <w:r>
        <w:rPr>
          <w:rFonts w:ascii="Times New Roman" w:eastAsia="方正仿宋简体" w:hAnsi="Times New Roman"/>
          <w:sz w:val="32"/>
          <w:szCs w:val="32"/>
        </w:rPr>
        <w:t>36</w:t>
      </w:r>
      <w:r>
        <w:rPr>
          <w:rFonts w:ascii="Times New Roman" w:eastAsia="方正仿宋简体" w:hAnsi="Times New Roman"/>
          <w:sz w:val="32"/>
          <w:szCs w:val="32"/>
        </w:rPr>
        <w:t>个月过渡期限足额计算（购买指定存量房源的，临时安置费留存金额按</w:t>
      </w:r>
      <w:r>
        <w:rPr>
          <w:rFonts w:ascii="Times New Roman" w:eastAsia="方正仿宋简体" w:hAnsi="Times New Roman"/>
          <w:sz w:val="32"/>
          <w:szCs w:val="32"/>
        </w:rPr>
        <w:t>6</w:t>
      </w:r>
      <w:r>
        <w:rPr>
          <w:rFonts w:ascii="Times New Roman" w:eastAsia="方正仿宋简体" w:hAnsi="Times New Roman"/>
          <w:sz w:val="32"/>
          <w:szCs w:val="32"/>
        </w:rPr>
        <w:t>个月过渡期限计算），每月临时安置费标准按本方案规定计算。</w:t>
      </w:r>
    </w:p>
    <w:p w14:paraId="7680E520"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（六）产权调换办法</w:t>
      </w:r>
    </w:p>
    <w:p w14:paraId="49E2ED18"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z w:val="32"/>
          <w:szCs w:val="32"/>
        </w:rPr>
        <w:t>房屋所有权人要求实行产权调换的，原有房屋价值按附表一、附表三所列标准计算，新建定向定价商品房或指定存量房源价值按评估基准价计算，经结算后互补差价。</w:t>
      </w:r>
    </w:p>
    <w:p w14:paraId="21AE7DEC"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lastRenderedPageBreak/>
        <w:t>2.</w:t>
      </w:r>
      <w:r>
        <w:rPr>
          <w:rFonts w:ascii="Times New Roman" w:eastAsia="方正仿宋简体" w:hAnsi="Times New Roman"/>
          <w:sz w:val="32"/>
          <w:szCs w:val="32"/>
        </w:rPr>
        <w:t>选择产权调换签订协议并按时搬迁后，先发放搬迁费、按时搬迁奖励、附属物补偿款、一次性终止经营补贴、第一期临时安置费等款项，房屋所有权人应缴的补差价款在选房后结算，并在规定期限内一次性缴清。</w:t>
      </w:r>
    </w:p>
    <w:p w14:paraId="3E219629"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sz w:val="32"/>
          <w:szCs w:val="32"/>
        </w:rPr>
        <w:t>每个产权户应按等面积置换原则产权调换新建定向商品房或指定存量房源。选房时因户型、结构等原因所选房屋面积超过产权调换面积的，超过部分一律按选房时销售单位公告的销售价格结算。</w:t>
      </w:r>
    </w:p>
    <w:p w14:paraId="298A6B0D"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（七）选房办法</w:t>
      </w:r>
    </w:p>
    <w:p w14:paraId="3E39A87D"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z w:val="32"/>
          <w:szCs w:val="32"/>
        </w:rPr>
        <w:t>在红梅片区就地新建定向定价商品房中，单列房源</w:t>
      </w:r>
      <w:r>
        <w:rPr>
          <w:rFonts w:ascii="方正仿宋简体" w:eastAsia="方正仿宋简体" w:hAnsi="方正仿宋简体" w:cs="方正仿宋简体"/>
          <w:sz w:val="32"/>
          <w:szCs w:val="32"/>
        </w:rPr>
        <w:t>（“单独楼栋+垂直户号”组合）供本批次参与改造更新的群众选房，并严格按照“最接近面积、最少套数”的调控原则选房。群</w:t>
      </w:r>
      <w:r>
        <w:rPr>
          <w:rFonts w:ascii="Times New Roman" w:eastAsia="方正仿宋简体" w:hAnsi="Times New Roman"/>
          <w:sz w:val="32"/>
          <w:szCs w:val="32"/>
        </w:rPr>
        <w:t>众可在其他批次选房结束后的剩余房源中自愿选择房源搭配组合。</w:t>
      </w:r>
    </w:p>
    <w:p w14:paraId="4501AA49"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sz w:val="32"/>
          <w:szCs w:val="32"/>
        </w:rPr>
        <w:t>按</w:t>
      </w:r>
      <w:r>
        <w:rPr>
          <w:rFonts w:ascii="方正仿宋简体" w:eastAsia="方正仿宋简体" w:hAnsi="方正仿宋简体" w:cs="方正仿宋简体"/>
          <w:sz w:val="32"/>
          <w:szCs w:val="32"/>
        </w:rPr>
        <w:t>照“先签约、先搬迁、先选房”的</w:t>
      </w:r>
      <w:r>
        <w:rPr>
          <w:rFonts w:ascii="Times New Roman" w:eastAsia="方正仿宋简体" w:hAnsi="Times New Roman"/>
          <w:sz w:val="32"/>
          <w:szCs w:val="32"/>
        </w:rPr>
        <w:t>奖励原则，以</w:t>
      </w:r>
      <w:r>
        <w:rPr>
          <w:rFonts w:ascii="方正仿宋简体" w:eastAsia="方正仿宋简体" w:hAnsi="方正仿宋简体" w:cs="方正仿宋简体"/>
          <w:sz w:val="32"/>
          <w:szCs w:val="32"/>
        </w:rPr>
        <w:t>及“最接近面积、最少套数”的调控原则选房。购房人必须按照最</w:t>
      </w:r>
      <w:r>
        <w:rPr>
          <w:rFonts w:ascii="Times New Roman" w:eastAsia="方正仿宋简体" w:hAnsi="Times New Roman"/>
          <w:sz w:val="32"/>
          <w:szCs w:val="32"/>
        </w:rPr>
        <w:t>接近面积、最少套数的原则选房，因户型、结构等原因所选房屋面积超过协议征收补偿约定购买面积的，</w:t>
      </w:r>
      <w:r>
        <w:rPr>
          <w:rFonts w:ascii="Times New Roman" w:eastAsia="方正仿宋简体" w:hAnsi="Times New Roman"/>
          <w:sz w:val="32"/>
          <w:szCs w:val="32"/>
        </w:rPr>
        <w:t>10</w:t>
      </w:r>
      <w:r>
        <w:rPr>
          <w:rFonts w:ascii="Times New Roman" w:eastAsia="方正仿宋简体" w:hAnsi="Times New Roman"/>
          <w:sz w:val="32"/>
          <w:szCs w:val="32"/>
        </w:rPr>
        <w:t>㎡（含</w:t>
      </w:r>
      <w:r>
        <w:rPr>
          <w:rFonts w:ascii="Times New Roman" w:eastAsia="方正仿宋简体" w:hAnsi="Times New Roman"/>
          <w:sz w:val="32"/>
          <w:szCs w:val="32"/>
        </w:rPr>
        <w:t>10</w:t>
      </w:r>
      <w:r>
        <w:rPr>
          <w:rFonts w:ascii="Times New Roman" w:eastAsia="方正仿宋简体" w:hAnsi="Times New Roman"/>
          <w:sz w:val="32"/>
          <w:szCs w:val="32"/>
        </w:rPr>
        <w:t>㎡）以内的部分按</w:t>
      </w:r>
      <w:r>
        <w:rPr>
          <w:rFonts w:ascii="Times New Roman" w:eastAsia="方正仿宋简体" w:hAnsi="Times New Roman"/>
          <w:sz w:val="32"/>
          <w:szCs w:val="32"/>
        </w:rPr>
        <w:t>25000</w:t>
      </w:r>
      <w:r>
        <w:rPr>
          <w:rFonts w:ascii="Times New Roman" w:eastAsia="方正仿宋简体" w:hAnsi="Times New Roman"/>
          <w:sz w:val="32"/>
          <w:szCs w:val="32"/>
        </w:rPr>
        <w:t>元</w:t>
      </w:r>
      <w:r>
        <w:rPr>
          <w:rFonts w:ascii="Times New Roman" w:eastAsia="方正仿宋简体" w:hAnsi="Times New Roman"/>
          <w:sz w:val="32"/>
          <w:szCs w:val="32"/>
        </w:rPr>
        <w:t>/</w:t>
      </w:r>
      <w:r>
        <w:rPr>
          <w:rFonts w:ascii="Times New Roman" w:eastAsia="方正仿宋简体" w:hAnsi="Times New Roman"/>
          <w:sz w:val="32"/>
          <w:szCs w:val="32"/>
        </w:rPr>
        <w:t>㎡计算，</w:t>
      </w:r>
      <w:r>
        <w:rPr>
          <w:rFonts w:ascii="Times New Roman" w:eastAsia="方正仿宋简体" w:hAnsi="Times New Roman"/>
          <w:sz w:val="32"/>
          <w:szCs w:val="32"/>
        </w:rPr>
        <w:t>10</w:t>
      </w:r>
      <w:r>
        <w:rPr>
          <w:rFonts w:ascii="Times New Roman" w:eastAsia="方正仿宋简体" w:hAnsi="Times New Roman"/>
          <w:sz w:val="32"/>
          <w:szCs w:val="32"/>
        </w:rPr>
        <w:t>㎡以上的部分一律按选房时销售单位公告的销售价格结算；所选房屋面积少于征收补偿协议约定购买面积的，按征收补偿协议约定购买价格给予结算退款。选择产权调换方式的，不予享受该项优惠。</w:t>
      </w:r>
    </w:p>
    <w:p w14:paraId="6BEE9B6B" w14:textId="77777777" w:rsidR="00EE24C8" w:rsidRDefault="00000000">
      <w:pPr>
        <w:spacing w:line="57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sz w:val="32"/>
          <w:szCs w:val="32"/>
        </w:rPr>
        <w:t>在政府公告规定的期限内，房屋所有权人签订协议并按时</w:t>
      </w:r>
      <w:r>
        <w:rPr>
          <w:rFonts w:ascii="Times New Roman" w:eastAsia="方正仿宋简体" w:hAnsi="Times New Roman"/>
          <w:sz w:val="32"/>
          <w:szCs w:val="32"/>
        </w:rPr>
        <w:lastRenderedPageBreak/>
        <w:t>搬迁的，房屋征收部门在搬迁完毕当日</w:t>
      </w:r>
      <w:r>
        <w:rPr>
          <w:rFonts w:ascii="方正仿宋简体" w:eastAsia="方正仿宋简体" w:hAnsi="方正仿宋简体" w:cs="方正仿宋简体"/>
          <w:sz w:val="32"/>
          <w:szCs w:val="32"/>
        </w:rPr>
        <w:t>发给“搬迁腾空验收证”，</w:t>
      </w:r>
      <w:r>
        <w:rPr>
          <w:rFonts w:ascii="Times New Roman" w:eastAsia="方正仿宋简体" w:hAnsi="Times New Roman"/>
          <w:sz w:val="32"/>
          <w:szCs w:val="32"/>
        </w:rPr>
        <w:t>房屋所有权人</w:t>
      </w:r>
      <w:r>
        <w:rPr>
          <w:rFonts w:ascii="方正仿宋简体" w:eastAsia="方正仿宋简体" w:hAnsi="方正仿宋简体" w:cs="方正仿宋简体"/>
          <w:sz w:val="32"/>
          <w:szCs w:val="32"/>
        </w:rPr>
        <w:t>凭“搬迁腾空验收证”，按房屋征收部门通知的时间换取“定向定价商品房选房证”。若</w:t>
      </w:r>
      <w:r>
        <w:rPr>
          <w:rFonts w:ascii="Times New Roman" w:eastAsia="方正仿宋简体" w:hAnsi="Times New Roman"/>
          <w:sz w:val="32"/>
          <w:szCs w:val="32"/>
        </w:rPr>
        <w:t>同一日内有两户或两户以上房屋完成签约搬迁完毕的，次日以公开拈阄方式确定先后顺序。选房时，购房人</w:t>
      </w:r>
      <w:r>
        <w:rPr>
          <w:rFonts w:ascii="方正仿宋简体" w:eastAsia="方正仿宋简体" w:hAnsi="方正仿宋简体" w:cs="方正仿宋简体"/>
          <w:sz w:val="32"/>
          <w:szCs w:val="32"/>
        </w:rPr>
        <w:t>凭“定向定价商品房选房证”按顺序选房，分别签订“商品房买卖合同”，由</w:t>
      </w:r>
      <w:r>
        <w:rPr>
          <w:rFonts w:ascii="Times New Roman" w:eastAsia="方正仿宋简体" w:hAnsi="Times New Roman"/>
          <w:sz w:val="32"/>
          <w:szCs w:val="32"/>
        </w:rPr>
        <w:t>房屋销售单位配合网签备案、开具购房发票、办理不动产登记等相关事项。</w:t>
      </w:r>
    </w:p>
    <w:p w14:paraId="3BCD3D1A" w14:textId="77777777" w:rsidR="00EE24C8" w:rsidRDefault="00000000">
      <w:pPr>
        <w:spacing w:line="57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4.</w:t>
      </w:r>
      <w:r>
        <w:rPr>
          <w:rFonts w:ascii="Times New Roman" w:eastAsia="方正仿宋简体" w:hAnsi="Times New Roman"/>
          <w:sz w:val="32"/>
          <w:szCs w:val="32"/>
        </w:rPr>
        <w:t>为落实国家保护华侨私有房屋政策及离休干部待遇政策，现状房屋经市或区侨台外事局（侨台办）确认为华侨私有房屋的，房屋所有权人持有离休干部证明材料的，在签订协议并搬迁完毕的当日，优先于当日其他人取</w:t>
      </w:r>
      <w:r>
        <w:rPr>
          <w:rFonts w:ascii="方正仿宋简体" w:eastAsia="方正仿宋简体" w:hAnsi="方正仿宋简体" w:cs="方正仿宋简体"/>
          <w:sz w:val="32"/>
          <w:szCs w:val="32"/>
        </w:rPr>
        <w:t>得“定向定价商品房选房证”；若</w:t>
      </w:r>
      <w:r>
        <w:rPr>
          <w:rFonts w:ascii="Times New Roman" w:eastAsia="方正仿宋简体" w:hAnsi="Times New Roman"/>
          <w:sz w:val="32"/>
          <w:szCs w:val="32"/>
        </w:rPr>
        <w:t>同一日内有两户或两户以上华侨或离休干部的房屋完成签订协议并搬迁完毕的，</w:t>
      </w:r>
      <w:r>
        <w:rPr>
          <w:rFonts w:ascii="方正仿宋简体" w:eastAsia="方正仿宋简体" w:hAnsi="方正仿宋简体" w:cs="方正仿宋简体"/>
          <w:sz w:val="32"/>
          <w:szCs w:val="32"/>
        </w:rPr>
        <w:t>“定向定价商品房选房证”以公开拈</w:t>
      </w:r>
      <w:r>
        <w:rPr>
          <w:rFonts w:ascii="Times New Roman" w:eastAsia="方正仿宋简体" w:hAnsi="Times New Roman"/>
          <w:sz w:val="32"/>
          <w:szCs w:val="32"/>
        </w:rPr>
        <w:t>阄的方式确定先后顺序。</w:t>
      </w:r>
    </w:p>
    <w:p w14:paraId="4BADD135" w14:textId="77777777" w:rsidR="00EE24C8" w:rsidRDefault="00000000">
      <w:pPr>
        <w:spacing w:line="57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（八）搬迁补助</w:t>
      </w:r>
    </w:p>
    <w:p w14:paraId="663FB206" w14:textId="77777777" w:rsidR="00EE24C8" w:rsidRDefault="00000000">
      <w:pPr>
        <w:spacing w:line="57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pacing w:val="-6"/>
          <w:sz w:val="32"/>
          <w:szCs w:val="32"/>
        </w:rPr>
        <w:t>搬迁补助按经认定的可补偿面积计算，补助标准为</w:t>
      </w:r>
      <w:r>
        <w:rPr>
          <w:rFonts w:ascii="Times New Roman" w:eastAsia="方正仿宋简体" w:hAnsi="Times New Roman"/>
          <w:spacing w:val="-6"/>
          <w:sz w:val="32"/>
          <w:szCs w:val="32"/>
        </w:rPr>
        <w:t>5</w:t>
      </w:r>
      <w:r>
        <w:rPr>
          <w:rFonts w:ascii="Times New Roman" w:eastAsia="方正仿宋简体" w:hAnsi="Times New Roman"/>
          <w:spacing w:val="-6"/>
          <w:sz w:val="32"/>
          <w:szCs w:val="32"/>
        </w:rPr>
        <w:t>元</w:t>
      </w:r>
      <w:r>
        <w:rPr>
          <w:rFonts w:ascii="Times New Roman" w:eastAsia="方正仿宋简体" w:hAnsi="Times New Roman"/>
          <w:spacing w:val="-6"/>
          <w:sz w:val="32"/>
          <w:szCs w:val="32"/>
        </w:rPr>
        <w:t>/</w:t>
      </w:r>
      <w:r>
        <w:rPr>
          <w:rFonts w:ascii="Times New Roman" w:eastAsia="方正仿宋简体" w:hAnsi="Times New Roman"/>
          <w:spacing w:val="-6"/>
          <w:sz w:val="32"/>
          <w:szCs w:val="32"/>
        </w:rPr>
        <w:t>㎡，</w:t>
      </w:r>
      <w:r>
        <w:rPr>
          <w:rFonts w:ascii="Times New Roman" w:eastAsia="方正仿宋简体" w:hAnsi="Times New Roman"/>
          <w:sz w:val="32"/>
          <w:szCs w:val="32"/>
        </w:rPr>
        <w:t>每户搬迁费不足</w:t>
      </w:r>
      <w:r>
        <w:rPr>
          <w:rFonts w:ascii="Times New Roman" w:eastAsia="方正仿宋简体" w:hAnsi="Times New Roman"/>
          <w:sz w:val="32"/>
          <w:szCs w:val="32"/>
        </w:rPr>
        <w:t>1000</w:t>
      </w:r>
      <w:r>
        <w:rPr>
          <w:rFonts w:ascii="Times New Roman" w:eastAsia="方正仿宋简体" w:hAnsi="Times New Roman"/>
          <w:sz w:val="32"/>
          <w:szCs w:val="32"/>
        </w:rPr>
        <w:t>元的，按</w:t>
      </w:r>
      <w:r>
        <w:rPr>
          <w:rFonts w:ascii="Times New Roman" w:eastAsia="方正仿宋简体" w:hAnsi="Times New Roman"/>
          <w:sz w:val="32"/>
          <w:szCs w:val="32"/>
        </w:rPr>
        <w:t>1000</w:t>
      </w:r>
      <w:r>
        <w:rPr>
          <w:rFonts w:ascii="Times New Roman" w:eastAsia="方正仿宋简体" w:hAnsi="Times New Roman"/>
          <w:sz w:val="32"/>
          <w:szCs w:val="32"/>
        </w:rPr>
        <w:t>元给予补助。</w:t>
      </w:r>
    </w:p>
    <w:p w14:paraId="349D6CDE" w14:textId="77777777" w:rsidR="00EE24C8" w:rsidRDefault="00000000">
      <w:pPr>
        <w:spacing w:line="57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sz w:val="32"/>
          <w:szCs w:val="32"/>
        </w:rPr>
        <w:t>房屋所有权人选择货币补偿购买就地或异地指定新建房源或存量房源，或实行产权调换的，发放两次搬迁费。房屋所有权人选择货币补偿且不购买就地或异地指定新建房源或存量房源的，发放一次搬迁费。</w:t>
      </w:r>
    </w:p>
    <w:p w14:paraId="16664E94" w14:textId="77777777" w:rsidR="00EE24C8" w:rsidRDefault="00000000">
      <w:pPr>
        <w:spacing w:line="57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（九）过渡保障</w:t>
      </w:r>
    </w:p>
    <w:p w14:paraId="6DE133A4" w14:textId="77777777" w:rsidR="00EE24C8" w:rsidRDefault="00000000">
      <w:pPr>
        <w:spacing w:line="57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改造更新实施过程中，按照中心市区古城范围内现行标准，</w:t>
      </w:r>
      <w:r>
        <w:rPr>
          <w:rFonts w:ascii="Times New Roman" w:eastAsia="方正仿宋简体" w:hAnsi="Times New Roman"/>
          <w:sz w:val="32"/>
          <w:szCs w:val="32"/>
        </w:rPr>
        <w:lastRenderedPageBreak/>
        <w:t>给予临时过渡保障，过渡期限为</w:t>
      </w:r>
      <w:r>
        <w:rPr>
          <w:rFonts w:ascii="Times New Roman" w:eastAsia="方正仿宋简体" w:hAnsi="Times New Roman"/>
          <w:sz w:val="32"/>
          <w:szCs w:val="32"/>
        </w:rPr>
        <w:t>36</w:t>
      </w:r>
      <w:r>
        <w:rPr>
          <w:rFonts w:ascii="Times New Roman" w:eastAsia="方正仿宋简体" w:hAnsi="Times New Roman"/>
          <w:sz w:val="32"/>
          <w:szCs w:val="32"/>
        </w:rPr>
        <w:t>个月。过渡期间临时安置费补助标准为</w:t>
      </w:r>
      <w:r>
        <w:rPr>
          <w:rFonts w:ascii="Times New Roman" w:eastAsia="方正仿宋简体" w:hAnsi="Times New Roman"/>
          <w:sz w:val="32"/>
          <w:szCs w:val="32"/>
        </w:rPr>
        <w:t>8</w:t>
      </w:r>
      <w:r>
        <w:rPr>
          <w:rFonts w:ascii="Times New Roman" w:eastAsia="方正仿宋简体" w:hAnsi="Times New Roman"/>
          <w:sz w:val="32"/>
          <w:szCs w:val="32"/>
        </w:rPr>
        <w:t>元</w:t>
      </w:r>
      <w:r>
        <w:rPr>
          <w:rFonts w:ascii="Times New Roman" w:eastAsia="方正仿宋简体" w:hAnsi="Times New Roman"/>
          <w:sz w:val="32"/>
          <w:szCs w:val="32"/>
        </w:rPr>
        <w:t>/</w:t>
      </w:r>
      <w:r>
        <w:rPr>
          <w:rFonts w:ascii="Times New Roman" w:eastAsia="方正仿宋简体" w:hAnsi="Times New Roman"/>
          <w:sz w:val="32"/>
          <w:szCs w:val="32"/>
        </w:rPr>
        <w:t>㎡，按原房屋经认定的可补偿面积计算，低于</w:t>
      </w:r>
      <w:r>
        <w:rPr>
          <w:rFonts w:ascii="Times New Roman" w:eastAsia="方正仿宋简体" w:hAnsi="Times New Roman"/>
          <w:sz w:val="32"/>
          <w:szCs w:val="32"/>
        </w:rPr>
        <w:t>1500</w:t>
      </w:r>
      <w:r>
        <w:rPr>
          <w:rFonts w:ascii="Times New Roman" w:eastAsia="方正仿宋简体" w:hAnsi="Times New Roman"/>
          <w:sz w:val="32"/>
          <w:szCs w:val="32"/>
        </w:rPr>
        <w:t>元</w:t>
      </w:r>
      <w:r>
        <w:rPr>
          <w:rFonts w:ascii="Times New Roman" w:eastAsia="方正仿宋简体" w:hAnsi="Times New Roman"/>
          <w:sz w:val="32"/>
          <w:szCs w:val="32"/>
        </w:rPr>
        <w:t>/</w:t>
      </w:r>
      <w:r>
        <w:rPr>
          <w:rFonts w:ascii="Times New Roman" w:eastAsia="方正仿宋简体" w:hAnsi="Times New Roman"/>
          <w:sz w:val="32"/>
          <w:szCs w:val="32"/>
        </w:rPr>
        <w:t>月</w:t>
      </w:r>
      <w:r>
        <w:rPr>
          <w:rFonts w:ascii="Times New Roman" w:eastAsia="方正仿宋简体" w:hAnsi="Times New Roman"/>
          <w:sz w:val="32"/>
          <w:szCs w:val="32"/>
        </w:rPr>
        <w:t>•</w:t>
      </w:r>
      <w:r>
        <w:rPr>
          <w:rFonts w:ascii="Times New Roman" w:eastAsia="方正仿宋简体" w:hAnsi="Times New Roman"/>
          <w:sz w:val="32"/>
          <w:szCs w:val="32"/>
        </w:rPr>
        <w:t>户的按保底</w:t>
      </w:r>
      <w:r>
        <w:rPr>
          <w:rFonts w:ascii="Times New Roman" w:eastAsia="方正仿宋简体" w:hAnsi="Times New Roman"/>
          <w:sz w:val="32"/>
          <w:szCs w:val="32"/>
        </w:rPr>
        <w:t>1500</w:t>
      </w:r>
      <w:r>
        <w:rPr>
          <w:rFonts w:ascii="Times New Roman" w:eastAsia="方正仿宋简体" w:hAnsi="Times New Roman"/>
          <w:sz w:val="32"/>
          <w:szCs w:val="32"/>
        </w:rPr>
        <w:t>元</w:t>
      </w:r>
      <w:r>
        <w:rPr>
          <w:rFonts w:ascii="Times New Roman" w:eastAsia="方正仿宋简体" w:hAnsi="Times New Roman"/>
          <w:sz w:val="32"/>
          <w:szCs w:val="32"/>
        </w:rPr>
        <w:t>/</w:t>
      </w:r>
      <w:r>
        <w:rPr>
          <w:rFonts w:ascii="Times New Roman" w:eastAsia="方正仿宋简体" w:hAnsi="Times New Roman"/>
          <w:sz w:val="32"/>
          <w:szCs w:val="32"/>
        </w:rPr>
        <w:t>月</w:t>
      </w:r>
      <w:r>
        <w:rPr>
          <w:rFonts w:ascii="Times New Roman" w:eastAsia="方正仿宋简体" w:hAnsi="Times New Roman"/>
          <w:sz w:val="32"/>
          <w:szCs w:val="32"/>
        </w:rPr>
        <w:t>•</w:t>
      </w:r>
      <w:r>
        <w:rPr>
          <w:rFonts w:ascii="Times New Roman" w:eastAsia="方正仿宋简体" w:hAnsi="Times New Roman"/>
          <w:sz w:val="32"/>
          <w:szCs w:val="32"/>
        </w:rPr>
        <w:t>户发放。房屋所有权人不购买就地或异地指定新建房源，或选择购买指定存量房源的，临时安置费按</w:t>
      </w:r>
      <w:r>
        <w:rPr>
          <w:rFonts w:ascii="Times New Roman" w:eastAsia="方正仿宋简体" w:hAnsi="Times New Roman"/>
          <w:sz w:val="32"/>
          <w:szCs w:val="32"/>
        </w:rPr>
        <w:t>6</w:t>
      </w:r>
      <w:r>
        <w:rPr>
          <w:rFonts w:ascii="Times New Roman" w:eastAsia="方正仿宋简体" w:hAnsi="Times New Roman"/>
          <w:sz w:val="32"/>
          <w:szCs w:val="32"/>
        </w:rPr>
        <w:t>个月计算一次性发放。</w:t>
      </w:r>
    </w:p>
    <w:p w14:paraId="73871D66"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临时安置费发放自房屋所有权人取</w:t>
      </w:r>
      <w:r>
        <w:rPr>
          <w:rFonts w:ascii="方正仿宋简体" w:eastAsia="方正仿宋简体" w:hAnsi="方正仿宋简体" w:cs="方正仿宋简体" w:hint="eastAsia"/>
          <w:sz w:val="32"/>
          <w:szCs w:val="32"/>
        </w:rPr>
        <w:t>得“搬迁腾空验收证”之</w:t>
      </w:r>
      <w:r>
        <w:rPr>
          <w:rFonts w:ascii="Times New Roman" w:eastAsia="方正仿宋简体" w:hAnsi="Times New Roman"/>
          <w:sz w:val="32"/>
          <w:szCs w:val="32"/>
        </w:rPr>
        <w:t>日起至房屋征收部门通知交房之日止。除不可抗力外，逾期交房的，房屋征收部门应当从逾期之月起向房屋所有权人支付双倍临时安置费。享受保底临时安置费的，须按经认定的可补偿面积重新核算，不超过保底标准的仍按保底标准执行，超过保底保准的按重新核算结果执行。</w:t>
      </w:r>
    </w:p>
    <w:p w14:paraId="217FD7F4" w14:textId="77777777" w:rsidR="00EE24C8" w:rsidRDefault="00000000">
      <w:pPr>
        <w:spacing w:line="600" w:lineRule="exact"/>
        <w:ind w:firstLineChars="200" w:firstLine="640"/>
        <w:contextualSpacing/>
        <w:rPr>
          <w:rFonts w:ascii="Times New Roman" w:eastAsia="黑体" w:hAnsi="Times New Roman"/>
          <w:sz w:val="32"/>
          <w:szCs w:val="32"/>
        </w:rPr>
      </w:pPr>
      <w:r>
        <w:rPr>
          <w:rFonts w:ascii="Times New Roman" w:eastAsia="黑体" w:hAnsi="Times New Roman"/>
          <w:sz w:val="32"/>
          <w:szCs w:val="32"/>
        </w:rPr>
        <w:t>六、其他规定</w:t>
      </w:r>
    </w:p>
    <w:p w14:paraId="408C75E5"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（一）关于不动产登记面积</w:t>
      </w:r>
    </w:p>
    <w:p w14:paraId="6793AC41"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购房人办理不动产登记以后，若不动产登记面积与《商品房买卖合同》约定面积有误差的，根据不动产登记面积和合同约定价格据实结算、</w:t>
      </w:r>
      <w:r>
        <w:rPr>
          <w:rFonts w:ascii="Times New Roman" w:eastAsia="方正仿宋简体" w:hAnsi="Times New Roman"/>
          <w:sz w:val="32"/>
          <w:szCs w:val="32"/>
        </w:rPr>
        <w:t>‌</w:t>
      </w:r>
      <w:r>
        <w:rPr>
          <w:rFonts w:ascii="Times New Roman" w:eastAsia="方正仿宋简体" w:hAnsi="Times New Roman"/>
          <w:sz w:val="32"/>
          <w:szCs w:val="32"/>
        </w:rPr>
        <w:t>多还少补。</w:t>
      </w:r>
    </w:p>
    <w:p w14:paraId="27442031"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（二）关于店面和办公用房</w:t>
      </w:r>
    </w:p>
    <w:p w14:paraId="7B93C4D3"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改造更新范围内涉及店面、办公用房等建筑的，均以货币结算补偿金额、一次性发放，不予购买就地或异地房源。</w:t>
      </w:r>
    </w:p>
    <w:p w14:paraId="6EF2C85D"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店面补偿单价按附表二、三所列标准计算。无法提供城市规划部门批准文件或产权登记手续的，按相应建筑结构和类别给予补偿安置，补偿单价应按</w:t>
      </w:r>
      <w:r>
        <w:rPr>
          <w:rFonts w:ascii="Times New Roman" w:eastAsia="方正仿宋简体" w:hAnsi="Times New Roman"/>
          <w:sz w:val="32"/>
          <w:szCs w:val="32"/>
        </w:rPr>
        <w:t>10%</w:t>
      </w:r>
      <w:r>
        <w:rPr>
          <w:rFonts w:ascii="Times New Roman" w:eastAsia="方正仿宋简体" w:hAnsi="Times New Roman"/>
          <w:sz w:val="32"/>
          <w:szCs w:val="32"/>
        </w:rPr>
        <w:t>的标准扣减土地出让金。商业用房</w:t>
      </w:r>
      <w:r>
        <w:rPr>
          <w:rFonts w:ascii="Times New Roman" w:eastAsia="方正仿宋简体" w:hAnsi="Times New Roman"/>
          <w:sz w:val="32"/>
          <w:szCs w:val="32"/>
        </w:rPr>
        <w:lastRenderedPageBreak/>
        <w:t>的认定，以被征收房屋的建设方案设计图纸为主要依据。</w:t>
      </w:r>
    </w:p>
    <w:p w14:paraId="72FD7F69"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用地性质为工业的办公用房补偿单价参照厂房标准执行，用地性质为商业的办公用房采取分户评估方式确定房屋价值，以评估结果作为补偿依据。</w:t>
      </w:r>
    </w:p>
    <w:p w14:paraId="020DC114"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（三）关于优惠和奖励措施</w:t>
      </w:r>
    </w:p>
    <w:p w14:paraId="64B4DF53"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z w:val="32"/>
          <w:szCs w:val="32"/>
        </w:rPr>
        <w:t>在政府公告规定的期限内签订协议并按时搬迁的，房屋征收部门可以给予每产权户最高</w:t>
      </w:r>
      <w:r>
        <w:rPr>
          <w:rFonts w:ascii="Times New Roman" w:eastAsia="方正仿宋简体" w:hAnsi="Times New Roman"/>
          <w:sz w:val="32"/>
          <w:szCs w:val="32"/>
        </w:rPr>
        <w:t>3</w:t>
      </w:r>
      <w:r>
        <w:rPr>
          <w:rFonts w:ascii="Times New Roman" w:eastAsia="方正仿宋简体" w:hAnsi="Times New Roman"/>
          <w:sz w:val="32"/>
          <w:szCs w:val="32"/>
        </w:rPr>
        <w:t>万元的按时搬迁奖励</w:t>
      </w:r>
      <w:r>
        <w:rPr>
          <w:rFonts w:ascii="方正仿宋简体" w:eastAsia="方正仿宋简体" w:hAnsi="方正仿宋简体" w:cs="方正仿宋简体"/>
          <w:sz w:val="32"/>
          <w:szCs w:val="32"/>
        </w:rPr>
        <w:t>。“产权户”</w:t>
      </w:r>
      <w:r>
        <w:rPr>
          <w:rFonts w:ascii="Times New Roman" w:eastAsia="方正仿宋简体" w:hAnsi="Times New Roman"/>
          <w:sz w:val="32"/>
          <w:szCs w:val="32"/>
        </w:rPr>
        <w:t>的认定标准以有效的土地使用权证、房屋所有权证或不动产权证为计户依据。</w:t>
      </w:r>
    </w:p>
    <w:p w14:paraId="09E862CD"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sz w:val="32"/>
          <w:szCs w:val="32"/>
        </w:rPr>
        <w:t>房屋所有权人对本方案中所列价格无异议、在政府公告规定的签约期限内签订协议并按时搬迁的，可享受本方案规定的各项优惠、奖励措施（有特殊说明的除外）。</w:t>
      </w:r>
    </w:p>
    <w:p w14:paraId="33230F51"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sz w:val="32"/>
          <w:szCs w:val="32"/>
        </w:rPr>
        <w:t>房屋所有权人对本方案中所列价格有异议、未在政府公告规定的签约期限内签订协议并按时搬迁的，一律不予享受本方案规定的各项优惠、奖励措施。</w:t>
      </w:r>
    </w:p>
    <w:p w14:paraId="630F5CC8"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（四）关于共有产权房屋</w:t>
      </w:r>
    </w:p>
    <w:p w14:paraId="5F675400"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对于房屋所有权人登记为两人或两人以上，或房屋原所有权人已经去世由其继承人共同继承房屋等多人共有的情况，由共有产权人按本方案规定共同签署相关协议、合同及各类文书，所购房源在办理不动产登记以后，由共有产权人自行协商处置。</w:t>
      </w:r>
    </w:p>
    <w:p w14:paraId="1A0E5AB2" w14:textId="77777777" w:rsidR="00EE24C8" w:rsidRDefault="00000000">
      <w:pPr>
        <w:spacing w:line="600" w:lineRule="exact"/>
        <w:ind w:firstLineChars="200" w:firstLine="643"/>
        <w:contextualSpacing/>
        <w:rPr>
          <w:rFonts w:ascii="Times New Roman" w:eastAsia="楷体" w:hAnsi="Times New Roman"/>
          <w:b/>
          <w:sz w:val="32"/>
          <w:szCs w:val="32"/>
        </w:rPr>
      </w:pPr>
      <w:r>
        <w:rPr>
          <w:rFonts w:ascii="Times New Roman" w:eastAsia="楷体" w:hAnsi="Times New Roman"/>
          <w:b/>
          <w:sz w:val="32"/>
          <w:szCs w:val="32"/>
        </w:rPr>
        <w:t>（五）关于违法违章建筑</w:t>
      </w:r>
    </w:p>
    <w:p w14:paraId="33BA1836"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本项目自改造更新范围发布后抢建的房屋，或对认定为违法</w:t>
      </w:r>
      <w:r>
        <w:rPr>
          <w:rFonts w:ascii="Times New Roman" w:eastAsia="方正仿宋简体" w:hAnsi="Times New Roman"/>
          <w:sz w:val="32"/>
          <w:szCs w:val="32"/>
        </w:rPr>
        <w:lastRenderedPageBreak/>
        <w:t>违章建筑和超过批准期限的临时建筑，一律不予补偿，并强制拆除。违法违章建筑的认定，以地形图、遥感图和相关文件等为主要依据。</w:t>
      </w:r>
    </w:p>
    <w:p w14:paraId="053F9647" w14:textId="77777777" w:rsidR="00EE24C8" w:rsidRDefault="00000000">
      <w:pPr>
        <w:spacing w:line="600" w:lineRule="exact"/>
        <w:ind w:firstLineChars="200" w:firstLine="643"/>
        <w:contextualSpacing/>
        <w:rPr>
          <w:rFonts w:ascii="Times New Roman" w:eastAsia="方正仿宋简体" w:hAnsi="Times New Roman"/>
          <w:sz w:val="32"/>
          <w:szCs w:val="32"/>
        </w:rPr>
      </w:pPr>
      <w:r>
        <w:rPr>
          <w:rFonts w:ascii="Times New Roman" w:eastAsia="楷体" w:hAnsi="Times New Roman"/>
          <w:b/>
          <w:sz w:val="32"/>
          <w:szCs w:val="32"/>
        </w:rPr>
        <w:t>（六）</w:t>
      </w:r>
      <w:r>
        <w:rPr>
          <w:rFonts w:ascii="Times New Roman" w:eastAsia="方正仿宋简体" w:hAnsi="Times New Roman"/>
          <w:sz w:val="32"/>
          <w:szCs w:val="32"/>
        </w:rPr>
        <w:t>为保障本项目危旧房屋改造更新公共利益的实现，房屋征收部门与房屋所有权人在政府公告规定的签约期限内达不成协议，或者房屋所有权人不明确的，由房屋征收部门报请作出房屋征收决定的泉州市鲤城区人民政府按照本方案及房地产价格评估机构出具的评估结果作出补偿决定，并在改造更新范围内予以公告。</w:t>
      </w:r>
    </w:p>
    <w:p w14:paraId="7374E048" w14:textId="77777777" w:rsidR="00EE24C8" w:rsidRDefault="00000000">
      <w:pPr>
        <w:spacing w:line="600" w:lineRule="exact"/>
        <w:ind w:firstLineChars="200" w:firstLine="640"/>
        <w:contextualSpacing/>
        <w:rPr>
          <w:rFonts w:ascii="Times New Roman" w:eastAsia="方正仿宋简体" w:hAnsi="Times New Roman"/>
          <w:sz w:val="32"/>
          <w:szCs w:val="32"/>
        </w:rPr>
      </w:pPr>
      <w:r>
        <w:rPr>
          <w:rFonts w:ascii="Times New Roman" w:eastAsia="方正仿宋简体" w:hAnsi="Times New Roman"/>
          <w:sz w:val="32"/>
          <w:szCs w:val="32"/>
        </w:rPr>
        <w:t>房屋所有权人对补偿决定不服的，可以依法申请行政复议，也可以依法提起行政诉讼。法定期限内不申请行政复议或者不提起行政诉讼，在政府公告规定的期限内又不搬迁的，由作出房屋征收决定的泉州市鲤城区人民政府依法向人民法院申请强制执行。凡在政府公告规定的签约期限内达不成协议的，不再适用本方案规定的各项优惠、奖励措施。</w:t>
      </w:r>
    </w:p>
    <w:p w14:paraId="65CD16BA" w14:textId="77777777" w:rsidR="00EE24C8" w:rsidRDefault="00000000">
      <w:pPr>
        <w:spacing w:line="600" w:lineRule="exact"/>
        <w:ind w:firstLineChars="200" w:firstLine="643"/>
        <w:contextualSpacing/>
        <w:rPr>
          <w:rFonts w:ascii="Times New Roman" w:eastAsia="方正仿宋简体" w:hAnsi="Times New Roman"/>
          <w:sz w:val="32"/>
          <w:szCs w:val="32"/>
        </w:rPr>
      </w:pPr>
      <w:r>
        <w:rPr>
          <w:rFonts w:ascii="Times New Roman" w:eastAsia="楷体" w:hAnsi="Times New Roman"/>
          <w:b/>
          <w:sz w:val="32"/>
          <w:szCs w:val="32"/>
        </w:rPr>
        <w:t>（七）</w:t>
      </w:r>
      <w:r>
        <w:rPr>
          <w:rFonts w:ascii="Times New Roman" w:eastAsia="方正仿宋简体" w:hAnsi="Times New Roman"/>
          <w:sz w:val="32"/>
          <w:szCs w:val="32"/>
        </w:rPr>
        <w:t>本方案自征收决定公告发布之日起实施，未尽事宜按《中共鲤城区委办公室鲤城区人民政府办公室关于印发</w:t>
      </w:r>
      <w:r>
        <w:rPr>
          <w:rFonts w:ascii="Times New Roman" w:eastAsia="方正仿宋简体" w:hAnsi="Times New Roman"/>
          <w:sz w:val="32"/>
          <w:szCs w:val="32"/>
        </w:rPr>
        <w:t>&lt;</w:t>
      </w:r>
      <w:r>
        <w:rPr>
          <w:rFonts w:ascii="Times New Roman" w:eastAsia="方正仿宋简体" w:hAnsi="Times New Roman"/>
          <w:sz w:val="32"/>
          <w:szCs w:val="32"/>
        </w:rPr>
        <w:t>鲤城区重大项目建设指挥部管理工作机制</w:t>
      </w:r>
      <w:r>
        <w:rPr>
          <w:rFonts w:ascii="Times New Roman" w:eastAsia="方正仿宋简体" w:hAnsi="Times New Roman"/>
          <w:sz w:val="32"/>
          <w:szCs w:val="32"/>
        </w:rPr>
        <w:t>&gt;</w:t>
      </w:r>
      <w:r>
        <w:rPr>
          <w:rFonts w:ascii="Times New Roman" w:eastAsia="方正仿宋简体" w:hAnsi="Times New Roman"/>
          <w:sz w:val="32"/>
          <w:szCs w:val="32"/>
        </w:rPr>
        <w:t>的通知》（泉鲤委办〔</w:t>
      </w:r>
      <w:r>
        <w:rPr>
          <w:rFonts w:ascii="Times New Roman" w:eastAsia="方正仿宋简体" w:hAnsi="Times New Roman"/>
          <w:sz w:val="32"/>
          <w:szCs w:val="32"/>
        </w:rPr>
        <w:t>2017</w:t>
      </w:r>
      <w:r>
        <w:rPr>
          <w:rFonts w:ascii="Times New Roman" w:eastAsia="方正仿宋简体" w:hAnsi="Times New Roman"/>
          <w:sz w:val="32"/>
          <w:szCs w:val="32"/>
        </w:rPr>
        <w:t>〕</w:t>
      </w:r>
      <w:r>
        <w:rPr>
          <w:rFonts w:ascii="Times New Roman" w:eastAsia="方正仿宋简体" w:hAnsi="Times New Roman"/>
          <w:sz w:val="32"/>
          <w:szCs w:val="32"/>
        </w:rPr>
        <w:t>29</w:t>
      </w:r>
      <w:r>
        <w:rPr>
          <w:rFonts w:ascii="Times New Roman" w:eastAsia="方正仿宋简体" w:hAnsi="Times New Roman"/>
          <w:sz w:val="32"/>
          <w:szCs w:val="32"/>
        </w:rPr>
        <w:t>号）等相关法律、法规的规定执行。</w:t>
      </w:r>
    </w:p>
    <w:p w14:paraId="07EDBF0E" w14:textId="77777777" w:rsidR="00EE24C8" w:rsidRDefault="00000000">
      <w:pPr>
        <w:spacing w:line="600" w:lineRule="exact"/>
        <w:ind w:firstLineChars="200" w:firstLine="643"/>
        <w:contextualSpacing/>
        <w:rPr>
          <w:rFonts w:ascii="Times New Roman" w:eastAsia="方正仿宋简体" w:hAnsi="Times New Roman"/>
          <w:sz w:val="32"/>
          <w:szCs w:val="32"/>
        </w:rPr>
      </w:pPr>
      <w:r>
        <w:rPr>
          <w:rFonts w:ascii="Times New Roman" w:eastAsia="楷体" w:hAnsi="Times New Roman"/>
          <w:b/>
          <w:sz w:val="32"/>
          <w:szCs w:val="32"/>
        </w:rPr>
        <w:t>（八）</w:t>
      </w:r>
      <w:r>
        <w:rPr>
          <w:rFonts w:ascii="Times New Roman" w:eastAsia="方正仿宋简体" w:hAnsi="Times New Roman"/>
          <w:sz w:val="32"/>
          <w:szCs w:val="32"/>
        </w:rPr>
        <w:t>本方案解释权归泉州市鲤城区住房和城乡建设局。</w:t>
      </w:r>
    </w:p>
    <w:p w14:paraId="46C73BA0" w14:textId="77777777" w:rsidR="00EE24C8" w:rsidRDefault="00EE24C8">
      <w:pPr>
        <w:rPr>
          <w:rFonts w:ascii="Times New Roman" w:eastAsia="黑体" w:hAnsi="Times New Roman"/>
          <w:sz w:val="32"/>
          <w:szCs w:val="32"/>
        </w:rPr>
      </w:pPr>
    </w:p>
    <w:p w14:paraId="64474429" w14:textId="77777777" w:rsidR="00EE24C8" w:rsidRDefault="00EE24C8">
      <w:pPr>
        <w:rPr>
          <w:rFonts w:ascii="Times New Roman" w:eastAsia="黑体" w:hAnsi="Times New Roman"/>
          <w:sz w:val="32"/>
          <w:szCs w:val="32"/>
        </w:rPr>
      </w:pPr>
    </w:p>
    <w:p w14:paraId="1D0ECD56" w14:textId="77777777" w:rsidR="00EE24C8" w:rsidRDefault="00000000">
      <w:pPr>
        <w:rPr>
          <w:rFonts w:ascii="Times New Roman" w:eastAsia="黑体" w:hAnsi="Times New Roman"/>
          <w:sz w:val="32"/>
          <w:szCs w:val="32"/>
        </w:rPr>
      </w:pPr>
      <w:r>
        <w:rPr>
          <w:rFonts w:ascii="Times New Roman" w:eastAsia="黑体" w:hAnsi="Times New Roman"/>
          <w:sz w:val="32"/>
          <w:szCs w:val="32"/>
        </w:rPr>
        <w:lastRenderedPageBreak/>
        <w:t>附表一</w:t>
      </w:r>
    </w:p>
    <w:p w14:paraId="5BE81A0F" w14:textId="77777777" w:rsidR="00EE24C8" w:rsidRDefault="00000000">
      <w:pPr>
        <w:jc w:val="center"/>
        <w:rPr>
          <w:rFonts w:ascii="Times New Roman" w:eastAsia="方正小标宋简体" w:hAnsi="Times New Roman"/>
          <w:bCs/>
          <w:sz w:val="44"/>
          <w:szCs w:val="44"/>
        </w:rPr>
      </w:pPr>
      <w:r>
        <w:rPr>
          <w:rFonts w:ascii="Times New Roman" w:eastAsia="方正小标宋简体" w:hAnsi="Times New Roman"/>
          <w:bCs/>
          <w:sz w:val="44"/>
          <w:szCs w:val="44"/>
        </w:rPr>
        <w:t>房屋重置补偿单价</w:t>
      </w:r>
    </w:p>
    <w:p w14:paraId="723C85AA" w14:textId="77777777" w:rsidR="00EE24C8" w:rsidRDefault="00000000">
      <w:pPr>
        <w:jc w:val="right"/>
        <w:rPr>
          <w:rFonts w:ascii="Times New Roman" w:hAnsi="Times New Roman"/>
          <w:sz w:val="32"/>
          <w:szCs w:val="32"/>
        </w:rPr>
      </w:pPr>
      <w:r>
        <w:rPr>
          <w:rFonts w:ascii="Times New Roman" w:hAnsi="Times New Roman"/>
          <w:sz w:val="32"/>
          <w:szCs w:val="32"/>
        </w:rPr>
        <w:t>单位：元</w:t>
      </w:r>
      <w:r>
        <w:rPr>
          <w:rFonts w:ascii="Times New Roman" w:hAnsi="Times New Roman"/>
          <w:sz w:val="32"/>
          <w:szCs w:val="32"/>
        </w:rPr>
        <w:t>/</w:t>
      </w:r>
      <w:r>
        <w:rPr>
          <w:rFonts w:ascii="Times New Roman" w:hAnsi="Times New Roman"/>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3301"/>
        <w:gridCol w:w="3303"/>
      </w:tblGrid>
      <w:tr w:rsidR="00EE24C8" w14:paraId="2CD324B6" w14:textId="77777777">
        <w:trPr>
          <w:trHeight w:hRule="exact" w:val="807"/>
          <w:jc w:val="center"/>
        </w:trPr>
        <w:tc>
          <w:tcPr>
            <w:tcW w:w="2239" w:type="dxa"/>
            <w:vMerge w:val="restart"/>
            <w:noWrap/>
            <w:vAlign w:val="center"/>
          </w:tcPr>
          <w:p w14:paraId="16E0D142" w14:textId="77777777" w:rsidR="00EE24C8" w:rsidRDefault="00000000">
            <w:pPr>
              <w:jc w:val="center"/>
              <w:rPr>
                <w:rFonts w:ascii="Times New Roman" w:eastAsia="黑体" w:hAnsi="Times New Roman"/>
                <w:sz w:val="32"/>
                <w:szCs w:val="32"/>
              </w:rPr>
            </w:pPr>
            <w:r>
              <w:rPr>
                <w:rFonts w:ascii="Times New Roman" w:eastAsia="黑体" w:hAnsi="Times New Roman"/>
                <w:sz w:val="32"/>
                <w:szCs w:val="32"/>
              </w:rPr>
              <w:t>建筑结构</w:t>
            </w:r>
          </w:p>
        </w:tc>
        <w:tc>
          <w:tcPr>
            <w:tcW w:w="6632" w:type="dxa"/>
            <w:gridSpan w:val="2"/>
            <w:noWrap/>
            <w:vAlign w:val="center"/>
          </w:tcPr>
          <w:p w14:paraId="49C88640" w14:textId="77777777" w:rsidR="00EE24C8" w:rsidRDefault="00000000">
            <w:pPr>
              <w:jc w:val="center"/>
              <w:rPr>
                <w:rFonts w:ascii="Times New Roman" w:eastAsia="黑体" w:hAnsi="Times New Roman"/>
                <w:sz w:val="32"/>
                <w:szCs w:val="32"/>
              </w:rPr>
            </w:pPr>
            <w:r>
              <w:rPr>
                <w:rFonts w:ascii="Times New Roman" w:eastAsia="黑体" w:hAnsi="Times New Roman"/>
                <w:sz w:val="32"/>
                <w:szCs w:val="32"/>
              </w:rPr>
              <w:t>补偿单价</w:t>
            </w:r>
          </w:p>
        </w:tc>
      </w:tr>
      <w:tr w:rsidR="00EE24C8" w14:paraId="31B20A27" w14:textId="77777777">
        <w:trPr>
          <w:trHeight w:hRule="exact" w:val="847"/>
          <w:jc w:val="center"/>
        </w:trPr>
        <w:tc>
          <w:tcPr>
            <w:tcW w:w="2239" w:type="dxa"/>
            <w:vMerge/>
            <w:noWrap/>
            <w:vAlign w:val="center"/>
          </w:tcPr>
          <w:p w14:paraId="3B341D54" w14:textId="77777777" w:rsidR="00EE24C8" w:rsidRDefault="00EE24C8">
            <w:pPr>
              <w:jc w:val="center"/>
              <w:rPr>
                <w:rFonts w:ascii="Times New Roman" w:eastAsia="黑体" w:hAnsi="Times New Roman"/>
                <w:sz w:val="32"/>
                <w:szCs w:val="32"/>
              </w:rPr>
            </w:pPr>
          </w:p>
        </w:tc>
        <w:tc>
          <w:tcPr>
            <w:tcW w:w="3315" w:type="dxa"/>
            <w:noWrap/>
            <w:vAlign w:val="center"/>
          </w:tcPr>
          <w:p w14:paraId="5955F6BB" w14:textId="77777777" w:rsidR="00EE24C8" w:rsidRDefault="00000000">
            <w:pPr>
              <w:jc w:val="center"/>
              <w:rPr>
                <w:rFonts w:ascii="Times New Roman" w:eastAsia="黑体" w:hAnsi="Times New Roman"/>
                <w:sz w:val="32"/>
                <w:szCs w:val="32"/>
              </w:rPr>
            </w:pPr>
            <w:r>
              <w:rPr>
                <w:rFonts w:ascii="Times New Roman" w:eastAsia="黑体" w:hAnsi="Times New Roman"/>
                <w:sz w:val="32"/>
                <w:szCs w:val="32"/>
              </w:rPr>
              <w:t>出让用地</w:t>
            </w:r>
          </w:p>
        </w:tc>
        <w:tc>
          <w:tcPr>
            <w:tcW w:w="3317" w:type="dxa"/>
            <w:noWrap/>
            <w:vAlign w:val="center"/>
          </w:tcPr>
          <w:p w14:paraId="51E74E42" w14:textId="77777777" w:rsidR="00EE24C8" w:rsidRDefault="00000000">
            <w:pPr>
              <w:jc w:val="center"/>
              <w:rPr>
                <w:rFonts w:ascii="Times New Roman" w:eastAsia="黑体" w:hAnsi="Times New Roman"/>
                <w:sz w:val="32"/>
                <w:szCs w:val="32"/>
              </w:rPr>
            </w:pPr>
            <w:r>
              <w:rPr>
                <w:rFonts w:ascii="Times New Roman" w:eastAsia="黑体" w:hAnsi="Times New Roman"/>
                <w:sz w:val="32"/>
                <w:szCs w:val="32"/>
              </w:rPr>
              <w:t>划拨用地</w:t>
            </w:r>
          </w:p>
        </w:tc>
      </w:tr>
      <w:tr w:rsidR="00EE24C8" w14:paraId="7C430CB9" w14:textId="77777777">
        <w:trPr>
          <w:trHeight w:hRule="exact" w:val="1134"/>
          <w:jc w:val="center"/>
        </w:trPr>
        <w:tc>
          <w:tcPr>
            <w:tcW w:w="2239" w:type="dxa"/>
            <w:noWrap/>
            <w:vAlign w:val="center"/>
          </w:tcPr>
          <w:p w14:paraId="163C3B49" w14:textId="77777777" w:rsidR="00EE24C8" w:rsidRDefault="00000000">
            <w:pPr>
              <w:jc w:val="center"/>
              <w:rPr>
                <w:rFonts w:ascii="Times New Roman" w:eastAsia="方正仿宋简体" w:hAnsi="Times New Roman"/>
                <w:sz w:val="32"/>
                <w:szCs w:val="32"/>
              </w:rPr>
            </w:pPr>
            <w:r>
              <w:rPr>
                <w:rFonts w:ascii="Times New Roman" w:eastAsia="方正仿宋简体" w:hAnsi="Times New Roman"/>
                <w:sz w:val="32"/>
                <w:szCs w:val="32"/>
              </w:rPr>
              <w:t>框架</w:t>
            </w:r>
          </w:p>
        </w:tc>
        <w:tc>
          <w:tcPr>
            <w:tcW w:w="3315" w:type="dxa"/>
            <w:noWrap/>
            <w:vAlign w:val="center"/>
          </w:tcPr>
          <w:p w14:paraId="1FBB0D14" w14:textId="77777777" w:rsidR="00EE24C8" w:rsidRDefault="00000000">
            <w:pPr>
              <w:jc w:val="center"/>
              <w:rPr>
                <w:rFonts w:ascii="Times New Roman" w:eastAsia="方正仿宋简体" w:hAnsi="Times New Roman"/>
                <w:sz w:val="32"/>
                <w:szCs w:val="32"/>
              </w:rPr>
            </w:pPr>
            <w:r>
              <w:rPr>
                <w:rFonts w:ascii="Times New Roman" w:eastAsia="方正仿宋简体" w:hAnsi="Times New Roman"/>
                <w:sz w:val="32"/>
                <w:szCs w:val="32"/>
              </w:rPr>
              <w:t>27480</w:t>
            </w:r>
          </w:p>
        </w:tc>
        <w:tc>
          <w:tcPr>
            <w:tcW w:w="3317" w:type="dxa"/>
            <w:noWrap/>
            <w:vAlign w:val="center"/>
          </w:tcPr>
          <w:p w14:paraId="65F17C86" w14:textId="77777777" w:rsidR="00EE24C8" w:rsidRDefault="00000000">
            <w:pPr>
              <w:jc w:val="center"/>
              <w:rPr>
                <w:rFonts w:ascii="Times New Roman" w:eastAsia="方正仿宋简体" w:hAnsi="Times New Roman"/>
                <w:sz w:val="32"/>
                <w:szCs w:val="32"/>
              </w:rPr>
            </w:pPr>
            <w:r>
              <w:rPr>
                <w:rFonts w:ascii="Times New Roman" w:eastAsia="方正仿宋简体" w:hAnsi="Times New Roman"/>
                <w:sz w:val="32"/>
                <w:szCs w:val="32"/>
              </w:rPr>
              <w:t>27280</w:t>
            </w:r>
          </w:p>
        </w:tc>
      </w:tr>
      <w:tr w:rsidR="00EE24C8" w14:paraId="49E130D6" w14:textId="77777777">
        <w:trPr>
          <w:trHeight w:hRule="exact" w:val="1134"/>
          <w:jc w:val="center"/>
        </w:trPr>
        <w:tc>
          <w:tcPr>
            <w:tcW w:w="2239" w:type="dxa"/>
            <w:noWrap/>
            <w:vAlign w:val="center"/>
          </w:tcPr>
          <w:p w14:paraId="334C1290" w14:textId="77777777" w:rsidR="00EE24C8" w:rsidRDefault="00000000">
            <w:pPr>
              <w:jc w:val="center"/>
              <w:rPr>
                <w:rFonts w:ascii="Times New Roman" w:eastAsia="方正仿宋简体" w:hAnsi="Times New Roman"/>
                <w:sz w:val="32"/>
                <w:szCs w:val="32"/>
              </w:rPr>
            </w:pPr>
            <w:r>
              <w:rPr>
                <w:rFonts w:ascii="Times New Roman" w:eastAsia="方正仿宋简体" w:hAnsi="Times New Roman"/>
                <w:sz w:val="32"/>
                <w:szCs w:val="32"/>
              </w:rPr>
              <w:t>混合</w:t>
            </w:r>
          </w:p>
        </w:tc>
        <w:tc>
          <w:tcPr>
            <w:tcW w:w="3315" w:type="dxa"/>
            <w:noWrap/>
            <w:vAlign w:val="center"/>
          </w:tcPr>
          <w:p w14:paraId="0870F3CF" w14:textId="77777777" w:rsidR="00EE24C8" w:rsidRDefault="00000000">
            <w:pPr>
              <w:jc w:val="center"/>
              <w:rPr>
                <w:rFonts w:ascii="Times New Roman" w:eastAsia="方正仿宋简体" w:hAnsi="Times New Roman"/>
                <w:sz w:val="32"/>
                <w:szCs w:val="32"/>
              </w:rPr>
            </w:pPr>
            <w:r>
              <w:rPr>
                <w:rFonts w:ascii="Times New Roman" w:eastAsia="方正仿宋简体" w:hAnsi="Times New Roman"/>
                <w:sz w:val="32"/>
                <w:szCs w:val="32"/>
              </w:rPr>
              <w:t>26190</w:t>
            </w:r>
          </w:p>
        </w:tc>
        <w:tc>
          <w:tcPr>
            <w:tcW w:w="3317" w:type="dxa"/>
            <w:noWrap/>
            <w:vAlign w:val="center"/>
          </w:tcPr>
          <w:p w14:paraId="70460957" w14:textId="77777777" w:rsidR="00EE24C8" w:rsidRDefault="00000000">
            <w:pPr>
              <w:jc w:val="center"/>
              <w:rPr>
                <w:rFonts w:ascii="Times New Roman" w:eastAsia="方正仿宋简体" w:hAnsi="Times New Roman"/>
                <w:sz w:val="32"/>
                <w:szCs w:val="32"/>
              </w:rPr>
            </w:pPr>
            <w:r>
              <w:rPr>
                <w:rFonts w:ascii="Times New Roman" w:eastAsia="方正仿宋简体" w:hAnsi="Times New Roman"/>
                <w:sz w:val="32"/>
                <w:szCs w:val="32"/>
              </w:rPr>
              <w:t>25990</w:t>
            </w:r>
          </w:p>
        </w:tc>
      </w:tr>
      <w:tr w:rsidR="00EE24C8" w14:paraId="3858AC02" w14:textId="77777777">
        <w:trPr>
          <w:trHeight w:hRule="exact" w:val="2075"/>
          <w:jc w:val="center"/>
        </w:trPr>
        <w:tc>
          <w:tcPr>
            <w:tcW w:w="8871" w:type="dxa"/>
            <w:gridSpan w:val="3"/>
            <w:noWrap/>
            <w:vAlign w:val="center"/>
          </w:tcPr>
          <w:p w14:paraId="5F1B60AD" w14:textId="77777777" w:rsidR="00EE24C8" w:rsidRDefault="00000000">
            <w:pPr>
              <w:rPr>
                <w:rFonts w:ascii="Times New Roman" w:eastAsia="方正仿宋简体" w:hAnsi="Times New Roman"/>
                <w:sz w:val="32"/>
                <w:szCs w:val="32"/>
              </w:rPr>
            </w:pPr>
            <w:r>
              <w:rPr>
                <w:rFonts w:ascii="Times New Roman" w:eastAsia="方正仿宋简体" w:hAnsi="Times New Roman"/>
                <w:sz w:val="32"/>
                <w:szCs w:val="32"/>
              </w:rPr>
              <w:t xml:space="preserve">    </w:t>
            </w:r>
            <w:r>
              <w:rPr>
                <w:rFonts w:ascii="Times New Roman" w:eastAsia="方正仿宋简体" w:hAnsi="Times New Roman"/>
                <w:sz w:val="32"/>
                <w:szCs w:val="32"/>
              </w:rPr>
              <w:t>本表房屋土地应为住宅用地，所列单价包括土地、建筑物等，不包含装修。</w:t>
            </w:r>
          </w:p>
        </w:tc>
      </w:tr>
    </w:tbl>
    <w:p w14:paraId="3CCB966D" w14:textId="77777777" w:rsidR="00EE24C8" w:rsidRDefault="00EE24C8">
      <w:pPr>
        <w:rPr>
          <w:rFonts w:ascii="Times New Roman" w:hAnsi="Times New Roman"/>
        </w:rPr>
      </w:pPr>
    </w:p>
    <w:p w14:paraId="6956BB4C" w14:textId="77777777" w:rsidR="00EE24C8" w:rsidRDefault="00EE24C8">
      <w:pPr>
        <w:rPr>
          <w:rFonts w:ascii="Times New Roman" w:hAnsi="Times New Roman"/>
        </w:rPr>
      </w:pPr>
    </w:p>
    <w:p w14:paraId="3F5C3B6F" w14:textId="77777777" w:rsidR="00EE24C8" w:rsidRDefault="00EE24C8">
      <w:pPr>
        <w:rPr>
          <w:rFonts w:ascii="Times New Roman" w:hAnsi="Times New Roman"/>
        </w:rPr>
      </w:pPr>
    </w:p>
    <w:p w14:paraId="5060EF95" w14:textId="77777777" w:rsidR="00EE24C8" w:rsidRDefault="00EE24C8">
      <w:pPr>
        <w:rPr>
          <w:rFonts w:ascii="Times New Roman" w:hAnsi="Times New Roman"/>
        </w:rPr>
      </w:pPr>
    </w:p>
    <w:p w14:paraId="31D4144D" w14:textId="77777777" w:rsidR="00EE24C8" w:rsidRDefault="00EE24C8">
      <w:pPr>
        <w:rPr>
          <w:rFonts w:ascii="Times New Roman" w:hAnsi="Times New Roman"/>
        </w:rPr>
      </w:pPr>
    </w:p>
    <w:p w14:paraId="301B9A67" w14:textId="77777777" w:rsidR="00EE24C8" w:rsidRDefault="00EE24C8">
      <w:pPr>
        <w:rPr>
          <w:rFonts w:ascii="Times New Roman" w:hAnsi="Times New Roman"/>
        </w:rPr>
      </w:pPr>
    </w:p>
    <w:p w14:paraId="2DFF1F63" w14:textId="77777777" w:rsidR="00EE24C8" w:rsidRDefault="00EE24C8">
      <w:pPr>
        <w:rPr>
          <w:rFonts w:ascii="Times New Roman" w:hAnsi="Times New Roman"/>
        </w:rPr>
      </w:pPr>
    </w:p>
    <w:p w14:paraId="2F63D4C2" w14:textId="77777777" w:rsidR="00EE24C8" w:rsidRDefault="00EE24C8">
      <w:pPr>
        <w:rPr>
          <w:rFonts w:ascii="Times New Roman" w:hAnsi="Times New Roman"/>
        </w:rPr>
      </w:pPr>
    </w:p>
    <w:p w14:paraId="23E5EE5F" w14:textId="77777777" w:rsidR="00EE24C8" w:rsidRDefault="00EE24C8">
      <w:pPr>
        <w:rPr>
          <w:rFonts w:ascii="Times New Roman" w:hAnsi="Times New Roman"/>
        </w:rPr>
      </w:pPr>
    </w:p>
    <w:p w14:paraId="46F66876" w14:textId="77777777" w:rsidR="00EE24C8" w:rsidRDefault="00EE24C8">
      <w:pPr>
        <w:rPr>
          <w:rFonts w:ascii="Times New Roman" w:hAnsi="Times New Roman"/>
        </w:rPr>
      </w:pPr>
    </w:p>
    <w:p w14:paraId="76124850" w14:textId="77777777" w:rsidR="00EE24C8" w:rsidRDefault="00EE24C8">
      <w:pPr>
        <w:rPr>
          <w:rFonts w:ascii="Times New Roman" w:hAnsi="Times New Roman"/>
        </w:rPr>
      </w:pPr>
    </w:p>
    <w:p w14:paraId="366D0FE9" w14:textId="77777777" w:rsidR="00EE24C8" w:rsidRDefault="00EE24C8">
      <w:pPr>
        <w:rPr>
          <w:rFonts w:ascii="Times New Roman" w:hAnsi="Times New Roman"/>
        </w:rPr>
      </w:pPr>
    </w:p>
    <w:p w14:paraId="11083863" w14:textId="77777777" w:rsidR="00EE24C8" w:rsidRDefault="00EE24C8">
      <w:pPr>
        <w:rPr>
          <w:rFonts w:ascii="Times New Roman" w:hAnsi="Times New Roman"/>
        </w:rPr>
      </w:pPr>
    </w:p>
    <w:p w14:paraId="0367E02C" w14:textId="77777777" w:rsidR="00EE24C8" w:rsidRDefault="00EE24C8">
      <w:pPr>
        <w:rPr>
          <w:rFonts w:ascii="Times New Roman" w:hAnsi="Times New Roman"/>
        </w:rPr>
      </w:pPr>
    </w:p>
    <w:p w14:paraId="430F9FEC" w14:textId="77777777" w:rsidR="00EE24C8" w:rsidRDefault="00EE24C8">
      <w:pPr>
        <w:overflowPunct w:val="0"/>
        <w:spacing w:line="590" w:lineRule="exact"/>
        <w:rPr>
          <w:rFonts w:ascii="Times New Roman" w:eastAsia="黑体" w:hAnsi="Times New Roman"/>
          <w:sz w:val="32"/>
          <w:szCs w:val="30"/>
        </w:rPr>
      </w:pPr>
    </w:p>
    <w:p w14:paraId="4976F374" w14:textId="77777777" w:rsidR="00EE24C8" w:rsidRDefault="00000000">
      <w:pPr>
        <w:overflowPunct w:val="0"/>
        <w:spacing w:line="590" w:lineRule="exact"/>
        <w:rPr>
          <w:rFonts w:ascii="Times New Roman" w:eastAsia="黑体" w:hAnsi="Times New Roman"/>
          <w:sz w:val="32"/>
          <w:szCs w:val="30"/>
        </w:rPr>
      </w:pPr>
      <w:r>
        <w:rPr>
          <w:rFonts w:ascii="Times New Roman" w:eastAsia="黑体" w:hAnsi="Times New Roman"/>
          <w:sz w:val="32"/>
          <w:szCs w:val="30"/>
        </w:rPr>
        <w:lastRenderedPageBreak/>
        <w:t>附表二</w:t>
      </w:r>
    </w:p>
    <w:p w14:paraId="7366975B" w14:textId="77777777" w:rsidR="00EE24C8" w:rsidRDefault="00000000">
      <w:pPr>
        <w:overflowPunct w:val="0"/>
        <w:spacing w:line="590" w:lineRule="exact"/>
        <w:jc w:val="center"/>
        <w:rPr>
          <w:rFonts w:ascii="Times New Roman" w:eastAsia="方正小标宋简体" w:hAnsi="Times New Roman"/>
          <w:sz w:val="44"/>
          <w:szCs w:val="44"/>
        </w:rPr>
      </w:pPr>
      <w:r>
        <w:rPr>
          <w:rFonts w:ascii="Times New Roman" w:eastAsia="方正小标宋简体" w:hAnsi="Times New Roman"/>
          <w:sz w:val="44"/>
          <w:szCs w:val="44"/>
        </w:rPr>
        <w:t>店面重置补偿单价</w:t>
      </w:r>
    </w:p>
    <w:p w14:paraId="41C985AE" w14:textId="77777777" w:rsidR="00EE24C8" w:rsidRDefault="00000000">
      <w:pPr>
        <w:spacing w:line="590" w:lineRule="exact"/>
        <w:jc w:val="right"/>
        <w:rPr>
          <w:rFonts w:ascii="Times New Roman" w:hAnsi="Times New Roman"/>
          <w:sz w:val="32"/>
          <w:szCs w:val="32"/>
        </w:rPr>
      </w:pPr>
      <w:r>
        <w:rPr>
          <w:rFonts w:ascii="Times New Roman" w:hAnsi="Times New Roman"/>
          <w:sz w:val="32"/>
          <w:szCs w:val="32"/>
        </w:rPr>
        <w:t>单位：元</w:t>
      </w:r>
      <w:r>
        <w:rPr>
          <w:rFonts w:ascii="Times New Roman" w:hAnsi="Times New Roman"/>
          <w:sz w:val="32"/>
          <w:szCs w:val="32"/>
        </w:rPr>
        <w:t>/</w:t>
      </w:r>
      <w:r>
        <w:rPr>
          <w:rFonts w:ascii="Times New Roman" w:hAnsi="Times New Roman"/>
          <w:sz w:val="32"/>
          <w:szCs w:val="32"/>
        </w:rPr>
        <w:t>㎡</w:t>
      </w:r>
    </w:p>
    <w:tbl>
      <w:tblPr>
        <w:tblW w:w="0" w:type="auto"/>
        <w:jc w:val="center"/>
        <w:tblLayout w:type="fixed"/>
        <w:tblCellMar>
          <w:left w:w="0" w:type="dxa"/>
          <w:right w:w="0" w:type="dxa"/>
        </w:tblCellMar>
        <w:tblLook w:val="04A0" w:firstRow="1" w:lastRow="0" w:firstColumn="1" w:lastColumn="0" w:noHBand="0" w:noVBand="1"/>
      </w:tblPr>
      <w:tblGrid>
        <w:gridCol w:w="2578"/>
        <w:gridCol w:w="2126"/>
        <w:gridCol w:w="2126"/>
        <w:gridCol w:w="2066"/>
      </w:tblGrid>
      <w:tr w:rsidR="00EE24C8" w14:paraId="656F7247" w14:textId="77777777">
        <w:trPr>
          <w:trHeight w:val="453"/>
          <w:jc w:val="center"/>
        </w:trPr>
        <w:tc>
          <w:tcPr>
            <w:tcW w:w="2578" w:type="dxa"/>
            <w:tcBorders>
              <w:top w:val="single" w:sz="8" w:space="0" w:color="auto"/>
              <w:left w:val="single" w:sz="8" w:space="0" w:color="auto"/>
              <w:bottom w:val="single" w:sz="8" w:space="0" w:color="auto"/>
              <w:right w:val="single" w:sz="8" w:space="0" w:color="auto"/>
              <w:tl2br w:val="single" w:sz="4" w:space="0" w:color="auto"/>
            </w:tcBorders>
            <w:noWrap/>
            <w:tcMar>
              <w:top w:w="0" w:type="dxa"/>
              <w:left w:w="108" w:type="dxa"/>
              <w:bottom w:w="0" w:type="dxa"/>
              <w:right w:w="108" w:type="dxa"/>
            </w:tcMar>
          </w:tcPr>
          <w:p w14:paraId="6B1A355B" w14:textId="77777777" w:rsidR="00EE24C8" w:rsidRDefault="00000000">
            <w:pPr>
              <w:overflowPunct w:val="0"/>
              <w:spacing w:line="590" w:lineRule="exact"/>
              <w:rPr>
                <w:rFonts w:ascii="Times New Roman" w:eastAsia="黑体" w:hAnsi="Times New Roman"/>
                <w:sz w:val="28"/>
                <w:szCs w:val="28"/>
              </w:rPr>
            </w:pPr>
            <w:r>
              <w:rPr>
                <w:rFonts w:ascii="Times New Roman" w:eastAsia="黑体" w:hAnsi="Times New Roman"/>
                <w:sz w:val="28"/>
                <w:szCs w:val="28"/>
              </w:rPr>
              <w:t xml:space="preserve">            </w:t>
            </w:r>
            <w:r>
              <w:rPr>
                <w:rFonts w:ascii="Times New Roman" w:eastAsia="黑体" w:hAnsi="Times New Roman"/>
                <w:sz w:val="28"/>
                <w:szCs w:val="28"/>
              </w:rPr>
              <w:t>结构</w:t>
            </w:r>
          </w:p>
          <w:p w14:paraId="677DD965" w14:textId="77777777" w:rsidR="00EE24C8" w:rsidRDefault="00000000">
            <w:pPr>
              <w:overflowPunct w:val="0"/>
              <w:spacing w:line="590" w:lineRule="exact"/>
              <w:ind w:firstLineChars="100" w:firstLine="280"/>
              <w:rPr>
                <w:rFonts w:ascii="Times New Roman" w:eastAsia="黑体" w:hAnsi="Times New Roman"/>
                <w:sz w:val="28"/>
                <w:szCs w:val="28"/>
              </w:rPr>
            </w:pPr>
            <w:r>
              <w:rPr>
                <w:rFonts w:ascii="Times New Roman" w:eastAsia="黑体" w:hAnsi="Times New Roman"/>
                <w:sz w:val="28"/>
                <w:szCs w:val="28"/>
              </w:rPr>
              <w:t>类型</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209E2E9" w14:textId="77777777" w:rsidR="00EE24C8" w:rsidRDefault="00000000">
            <w:pPr>
              <w:overflowPunct w:val="0"/>
              <w:spacing w:line="59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框架</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0530213" w14:textId="77777777" w:rsidR="00EE24C8" w:rsidRDefault="00000000">
            <w:pPr>
              <w:overflowPunct w:val="0"/>
              <w:spacing w:line="59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砖混</w:t>
            </w:r>
          </w:p>
          <w:p w14:paraId="7B836F49" w14:textId="77777777" w:rsidR="00EE24C8" w:rsidRDefault="00000000">
            <w:pPr>
              <w:overflowPunct w:val="0"/>
              <w:spacing w:line="59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石混</w:t>
            </w:r>
          </w:p>
        </w:tc>
        <w:tc>
          <w:tcPr>
            <w:tcW w:w="20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C51424B" w14:textId="77777777" w:rsidR="00EE24C8" w:rsidRDefault="00000000">
            <w:pPr>
              <w:overflowPunct w:val="0"/>
              <w:spacing w:line="59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 xml:space="preserve">  </w:t>
            </w:r>
            <w:r>
              <w:rPr>
                <w:rFonts w:ascii="Times New Roman" w:eastAsia="黑体" w:hAnsi="Times New Roman"/>
                <w:bCs/>
                <w:kern w:val="0"/>
                <w:sz w:val="28"/>
                <w:szCs w:val="28"/>
              </w:rPr>
              <w:t>砖木、石木、</w:t>
            </w:r>
          </w:p>
          <w:p w14:paraId="54694456" w14:textId="77777777" w:rsidR="00EE24C8" w:rsidRDefault="00000000">
            <w:pPr>
              <w:overflowPunct w:val="0"/>
              <w:spacing w:line="59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石头、土木</w:t>
            </w:r>
          </w:p>
        </w:tc>
      </w:tr>
      <w:tr w:rsidR="00EE24C8" w14:paraId="428689B6" w14:textId="77777777">
        <w:trPr>
          <w:trHeight w:val="1278"/>
          <w:jc w:val="center"/>
        </w:trPr>
        <w:tc>
          <w:tcPr>
            <w:tcW w:w="2578" w:type="dxa"/>
            <w:tcBorders>
              <w:left w:val="single" w:sz="8" w:space="0" w:color="auto"/>
              <w:bottom w:val="single" w:sz="8" w:space="0" w:color="auto"/>
              <w:right w:val="single" w:sz="4" w:space="0" w:color="auto"/>
            </w:tcBorders>
            <w:noWrap/>
            <w:vAlign w:val="center"/>
          </w:tcPr>
          <w:p w14:paraId="7F80023A" w14:textId="77777777" w:rsidR="00EE24C8" w:rsidRDefault="00000000">
            <w:pPr>
              <w:overflowPunct w:val="0"/>
              <w:spacing w:line="590" w:lineRule="exact"/>
              <w:jc w:val="center"/>
              <w:rPr>
                <w:rFonts w:ascii="Times New Roman" w:eastAsia="方正仿宋简体" w:hAnsi="Times New Roman"/>
                <w:sz w:val="32"/>
                <w:szCs w:val="32"/>
              </w:rPr>
            </w:pPr>
            <w:r>
              <w:rPr>
                <w:rFonts w:ascii="Times New Roman" w:eastAsia="方正仿宋简体" w:hAnsi="Times New Roman"/>
                <w:sz w:val="32"/>
                <w:szCs w:val="32"/>
              </w:rPr>
              <w:t>店面</w:t>
            </w:r>
          </w:p>
        </w:tc>
        <w:tc>
          <w:tcPr>
            <w:tcW w:w="2126" w:type="dxa"/>
            <w:tcBorders>
              <w:top w:val="nil"/>
              <w:left w:val="single" w:sz="4" w:space="0" w:color="auto"/>
              <w:bottom w:val="single" w:sz="8" w:space="0" w:color="auto"/>
              <w:right w:val="single" w:sz="4" w:space="0" w:color="auto"/>
            </w:tcBorders>
            <w:noWrap/>
            <w:tcMar>
              <w:top w:w="0" w:type="dxa"/>
              <w:left w:w="108" w:type="dxa"/>
              <w:bottom w:w="0" w:type="dxa"/>
              <w:right w:w="108" w:type="dxa"/>
            </w:tcMar>
            <w:vAlign w:val="center"/>
          </w:tcPr>
          <w:p w14:paraId="6CE2759C" w14:textId="77777777" w:rsidR="00EE24C8" w:rsidRDefault="00000000">
            <w:pPr>
              <w:overflowPunct w:val="0"/>
              <w:spacing w:line="590" w:lineRule="exact"/>
              <w:jc w:val="center"/>
              <w:rPr>
                <w:rFonts w:ascii="Times New Roman" w:eastAsia="方正仿宋简体" w:hAnsi="Times New Roman"/>
                <w:sz w:val="32"/>
                <w:szCs w:val="32"/>
              </w:rPr>
            </w:pPr>
            <w:r>
              <w:rPr>
                <w:rFonts w:ascii="Times New Roman" w:eastAsia="方正仿宋简体" w:hAnsi="Times New Roman"/>
                <w:sz w:val="32"/>
                <w:szCs w:val="32"/>
              </w:rPr>
              <w:t>11790</w:t>
            </w:r>
          </w:p>
        </w:tc>
        <w:tc>
          <w:tcPr>
            <w:tcW w:w="2126" w:type="dxa"/>
            <w:tcBorders>
              <w:top w:val="nil"/>
              <w:left w:val="single" w:sz="4" w:space="0" w:color="auto"/>
              <w:bottom w:val="single" w:sz="8" w:space="0" w:color="auto"/>
              <w:right w:val="single" w:sz="4" w:space="0" w:color="auto"/>
            </w:tcBorders>
            <w:noWrap/>
            <w:tcMar>
              <w:top w:w="0" w:type="dxa"/>
              <w:left w:w="108" w:type="dxa"/>
              <w:bottom w:w="0" w:type="dxa"/>
              <w:right w:w="108" w:type="dxa"/>
            </w:tcMar>
            <w:vAlign w:val="center"/>
          </w:tcPr>
          <w:p w14:paraId="46C6DC54" w14:textId="77777777" w:rsidR="00EE24C8" w:rsidRDefault="00000000">
            <w:pPr>
              <w:overflowPunct w:val="0"/>
              <w:spacing w:line="590" w:lineRule="exact"/>
              <w:jc w:val="center"/>
              <w:rPr>
                <w:rFonts w:ascii="Times New Roman" w:eastAsia="方正仿宋简体" w:hAnsi="Times New Roman"/>
                <w:sz w:val="32"/>
                <w:szCs w:val="32"/>
              </w:rPr>
            </w:pPr>
            <w:r>
              <w:rPr>
                <w:rFonts w:ascii="Times New Roman" w:eastAsia="方正仿宋简体" w:hAnsi="Times New Roman"/>
                <w:sz w:val="32"/>
                <w:szCs w:val="32"/>
              </w:rPr>
              <w:t>10790</w:t>
            </w:r>
          </w:p>
        </w:tc>
        <w:tc>
          <w:tcPr>
            <w:tcW w:w="206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55FF69B1" w14:textId="77777777" w:rsidR="00EE24C8" w:rsidRDefault="00000000">
            <w:pPr>
              <w:overflowPunct w:val="0"/>
              <w:spacing w:line="590" w:lineRule="exact"/>
              <w:jc w:val="center"/>
              <w:rPr>
                <w:rFonts w:ascii="Times New Roman" w:eastAsia="方正仿宋简体" w:hAnsi="Times New Roman"/>
                <w:sz w:val="32"/>
                <w:szCs w:val="32"/>
              </w:rPr>
            </w:pPr>
            <w:r>
              <w:rPr>
                <w:rFonts w:ascii="Times New Roman" w:eastAsia="方正仿宋简体" w:hAnsi="Times New Roman"/>
                <w:sz w:val="32"/>
                <w:szCs w:val="32"/>
              </w:rPr>
              <w:t>9790</w:t>
            </w:r>
          </w:p>
        </w:tc>
      </w:tr>
      <w:tr w:rsidR="00EE24C8" w14:paraId="3261E579" w14:textId="77777777">
        <w:trPr>
          <w:trHeight w:val="1238"/>
          <w:jc w:val="center"/>
        </w:trPr>
        <w:tc>
          <w:tcPr>
            <w:tcW w:w="8896" w:type="dxa"/>
            <w:gridSpan w:val="4"/>
            <w:tcBorders>
              <w:top w:val="nil"/>
              <w:left w:val="single" w:sz="8" w:space="0" w:color="auto"/>
              <w:bottom w:val="single" w:sz="8" w:space="0" w:color="auto"/>
              <w:right w:val="single" w:sz="8" w:space="0" w:color="auto"/>
            </w:tcBorders>
            <w:noWrap/>
            <w:vAlign w:val="center"/>
          </w:tcPr>
          <w:p w14:paraId="3E5DDFDD" w14:textId="77777777" w:rsidR="00EE24C8" w:rsidRDefault="00000000">
            <w:pPr>
              <w:overflowPunct w:val="0"/>
              <w:spacing w:line="590" w:lineRule="exact"/>
              <w:rPr>
                <w:rFonts w:ascii="Times New Roman" w:eastAsia="方正仿宋简体" w:hAnsi="Times New Roman"/>
                <w:sz w:val="32"/>
                <w:szCs w:val="32"/>
              </w:rPr>
            </w:pPr>
            <w:r>
              <w:rPr>
                <w:rFonts w:ascii="Times New Roman" w:eastAsia="方正仿宋简体" w:hAnsi="Times New Roman"/>
                <w:sz w:val="32"/>
                <w:szCs w:val="32"/>
              </w:rPr>
              <w:t xml:space="preserve"> </w:t>
            </w:r>
            <w:r>
              <w:rPr>
                <w:rFonts w:ascii="Times New Roman" w:eastAsia="方正仿宋简体" w:hAnsi="Times New Roman"/>
                <w:sz w:val="32"/>
                <w:szCs w:val="32"/>
              </w:rPr>
              <w:t>备注：</w:t>
            </w:r>
            <w:r>
              <w:rPr>
                <w:rFonts w:ascii="Times New Roman" w:eastAsia="方正仿宋简体" w:hAnsi="Times New Roman"/>
                <w:spacing w:val="-6"/>
                <w:sz w:val="32"/>
                <w:szCs w:val="32"/>
              </w:rPr>
              <w:t>本表所列单价不包含装修价值，装修补偿另计。</w:t>
            </w:r>
          </w:p>
        </w:tc>
      </w:tr>
    </w:tbl>
    <w:p w14:paraId="70AD11AB" w14:textId="77777777" w:rsidR="00EE24C8" w:rsidRDefault="00EE24C8">
      <w:pPr>
        <w:rPr>
          <w:rFonts w:ascii="Times New Roman" w:eastAsia="黑体" w:hAnsi="Times New Roman"/>
          <w:sz w:val="32"/>
          <w:szCs w:val="32"/>
        </w:rPr>
        <w:sectPr w:rsidR="00EE24C8">
          <w:footerReference w:type="default" r:id="rId7"/>
          <w:pgSz w:w="11906" w:h="16838"/>
          <w:pgMar w:top="1928" w:right="1474" w:bottom="1701" w:left="1588" w:header="851" w:footer="992" w:gutter="0"/>
          <w:cols w:space="720"/>
          <w:docGrid w:type="lines" w:linePitch="312"/>
        </w:sectPr>
      </w:pPr>
    </w:p>
    <w:p w14:paraId="3A8BCE99" w14:textId="77777777" w:rsidR="00EE24C8" w:rsidRDefault="00000000">
      <w:pPr>
        <w:spacing w:line="590" w:lineRule="exact"/>
        <w:rPr>
          <w:rFonts w:ascii="Times New Roman" w:eastAsia="黑体" w:hAnsi="Times New Roman"/>
          <w:sz w:val="32"/>
          <w:szCs w:val="32"/>
        </w:rPr>
      </w:pPr>
      <w:r>
        <w:rPr>
          <w:rFonts w:ascii="Times New Roman" w:eastAsia="黑体" w:hAnsi="Times New Roman"/>
          <w:sz w:val="32"/>
          <w:szCs w:val="32"/>
        </w:rPr>
        <w:lastRenderedPageBreak/>
        <w:t>附表三</w:t>
      </w:r>
    </w:p>
    <w:p w14:paraId="208198A1" w14:textId="77777777" w:rsidR="00EE24C8" w:rsidRDefault="00000000">
      <w:pPr>
        <w:spacing w:line="59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装修分类及补偿单价</w:t>
      </w:r>
    </w:p>
    <w:p w14:paraId="26C9122F" w14:textId="77777777" w:rsidR="00EE24C8" w:rsidRDefault="00000000">
      <w:pPr>
        <w:spacing w:line="590" w:lineRule="exact"/>
        <w:jc w:val="right"/>
        <w:rPr>
          <w:rFonts w:ascii="Times New Roman" w:hAnsi="Times New Roman"/>
          <w:sz w:val="32"/>
          <w:szCs w:val="32"/>
        </w:rPr>
      </w:pPr>
      <w:r>
        <w:rPr>
          <w:rFonts w:ascii="Times New Roman" w:hAnsi="Times New Roman"/>
          <w:sz w:val="32"/>
          <w:szCs w:val="32"/>
        </w:rPr>
        <w:t>单位：元</w:t>
      </w:r>
      <w:r>
        <w:rPr>
          <w:rFonts w:ascii="Times New Roman" w:hAnsi="Times New Roman"/>
          <w:sz w:val="32"/>
          <w:szCs w:val="32"/>
        </w:rPr>
        <w:t>/</w:t>
      </w:r>
      <w:r>
        <w:rPr>
          <w:rFonts w:ascii="Times New Roman" w:hAnsi="Times New Roman"/>
          <w:sz w:val="32"/>
          <w:szCs w:val="32"/>
        </w:rPr>
        <w:t>㎡</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68"/>
        <w:gridCol w:w="6300"/>
      </w:tblGrid>
      <w:tr w:rsidR="00EE24C8" w14:paraId="3C4F1DE8" w14:textId="77777777">
        <w:trPr>
          <w:trHeight w:val="930"/>
        </w:trPr>
        <w:tc>
          <w:tcPr>
            <w:tcW w:w="1260" w:type="dxa"/>
            <w:noWrap/>
            <w:vAlign w:val="center"/>
          </w:tcPr>
          <w:p w14:paraId="0ACB69AC" w14:textId="77777777" w:rsidR="00EE24C8" w:rsidRDefault="00000000">
            <w:pPr>
              <w:jc w:val="center"/>
              <w:rPr>
                <w:rFonts w:ascii="Times New Roman" w:eastAsia="黑体" w:hAnsi="Times New Roman"/>
                <w:sz w:val="24"/>
              </w:rPr>
            </w:pPr>
            <w:r>
              <w:rPr>
                <w:rFonts w:ascii="Times New Roman" w:eastAsia="黑体" w:hAnsi="Times New Roman"/>
                <w:sz w:val="24"/>
              </w:rPr>
              <w:t>档次</w:t>
            </w:r>
          </w:p>
        </w:tc>
        <w:tc>
          <w:tcPr>
            <w:tcW w:w="1368" w:type="dxa"/>
            <w:noWrap/>
            <w:vAlign w:val="center"/>
          </w:tcPr>
          <w:p w14:paraId="38A1A1BC" w14:textId="77777777" w:rsidR="00EE24C8" w:rsidRDefault="00000000">
            <w:pPr>
              <w:jc w:val="center"/>
              <w:rPr>
                <w:rFonts w:ascii="Times New Roman" w:eastAsia="黑体" w:hAnsi="Times New Roman"/>
                <w:sz w:val="24"/>
              </w:rPr>
            </w:pPr>
            <w:r>
              <w:rPr>
                <w:rFonts w:ascii="Times New Roman" w:eastAsia="黑体" w:hAnsi="Times New Roman"/>
                <w:sz w:val="24"/>
              </w:rPr>
              <w:t>补偿</w:t>
            </w:r>
          </w:p>
          <w:p w14:paraId="2BC67041" w14:textId="77777777" w:rsidR="00EE24C8" w:rsidRDefault="00000000">
            <w:pPr>
              <w:jc w:val="center"/>
              <w:rPr>
                <w:rFonts w:ascii="Times New Roman" w:eastAsia="黑体" w:hAnsi="Times New Roman"/>
                <w:sz w:val="24"/>
              </w:rPr>
            </w:pPr>
            <w:r>
              <w:rPr>
                <w:rFonts w:ascii="Times New Roman" w:eastAsia="黑体" w:hAnsi="Times New Roman"/>
                <w:sz w:val="24"/>
              </w:rPr>
              <w:t>标准</w:t>
            </w:r>
          </w:p>
        </w:tc>
        <w:tc>
          <w:tcPr>
            <w:tcW w:w="6300" w:type="dxa"/>
            <w:noWrap/>
            <w:vAlign w:val="center"/>
          </w:tcPr>
          <w:p w14:paraId="76CD47F9" w14:textId="77777777" w:rsidR="00EE24C8" w:rsidRDefault="00000000">
            <w:pPr>
              <w:jc w:val="center"/>
              <w:rPr>
                <w:rFonts w:ascii="Times New Roman" w:eastAsia="黑体" w:hAnsi="Times New Roman"/>
                <w:sz w:val="24"/>
              </w:rPr>
            </w:pPr>
            <w:r>
              <w:rPr>
                <w:rFonts w:ascii="Times New Roman" w:eastAsia="黑体" w:hAnsi="Times New Roman"/>
                <w:sz w:val="24"/>
              </w:rPr>
              <w:t>主</w:t>
            </w:r>
            <w:r>
              <w:rPr>
                <w:rFonts w:ascii="Times New Roman" w:eastAsia="黑体" w:hAnsi="Times New Roman"/>
                <w:sz w:val="24"/>
              </w:rPr>
              <w:t xml:space="preserve">  </w:t>
            </w:r>
            <w:r>
              <w:rPr>
                <w:rFonts w:ascii="Times New Roman" w:eastAsia="黑体" w:hAnsi="Times New Roman"/>
                <w:sz w:val="24"/>
              </w:rPr>
              <w:t>要</w:t>
            </w:r>
            <w:r>
              <w:rPr>
                <w:rFonts w:ascii="Times New Roman" w:eastAsia="黑体" w:hAnsi="Times New Roman"/>
                <w:sz w:val="24"/>
              </w:rPr>
              <w:t xml:space="preserve">  </w:t>
            </w:r>
            <w:r>
              <w:rPr>
                <w:rFonts w:ascii="Times New Roman" w:eastAsia="黑体" w:hAnsi="Times New Roman"/>
                <w:sz w:val="24"/>
              </w:rPr>
              <w:t>特</w:t>
            </w:r>
            <w:r>
              <w:rPr>
                <w:rFonts w:ascii="Times New Roman" w:eastAsia="黑体" w:hAnsi="Times New Roman"/>
                <w:sz w:val="24"/>
              </w:rPr>
              <w:t xml:space="preserve">  </w:t>
            </w:r>
            <w:r>
              <w:rPr>
                <w:rFonts w:ascii="Times New Roman" w:eastAsia="黑体" w:hAnsi="Times New Roman"/>
                <w:sz w:val="24"/>
              </w:rPr>
              <w:t>征</w:t>
            </w:r>
          </w:p>
        </w:tc>
      </w:tr>
      <w:tr w:rsidR="00EE24C8" w14:paraId="1CD07005" w14:textId="77777777">
        <w:trPr>
          <w:trHeight w:val="2423"/>
        </w:trPr>
        <w:tc>
          <w:tcPr>
            <w:tcW w:w="1260" w:type="dxa"/>
            <w:noWrap/>
            <w:vAlign w:val="center"/>
          </w:tcPr>
          <w:p w14:paraId="423B3043"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一档</w:t>
            </w:r>
          </w:p>
        </w:tc>
        <w:tc>
          <w:tcPr>
            <w:tcW w:w="1368" w:type="dxa"/>
            <w:noWrap/>
            <w:vAlign w:val="center"/>
          </w:tcPr>
          <w:p w14:paraId="73B75227"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600</w:t>
            </w:r>
          </w:p>
        </w:tc>
        <w:tc>
          <w:tcPr>
            <w:tcW w:w="6300" w:type="dxa"/>
            <w:noWrap/>
            <w:vAlign w:val="center"/>
          </w:tcPr>
          <w:p w14:paraId="5AD79DE0" w14:textId="77777777" w:rsidR="00EE24C8" w:rsidRDefault="00000000">
            <w:pPr>
              <w:spacing w:line="480" w:lineRule="exact"/>
              <w:rPr>
                <w:rFonts w:ascii="Times New Roman" w:eastAsia="方正仿宋简体" w:hAnsi="Times New Roman"/>
                <w:sz w:val="24"/>
              </w:rPr>
            </w:pPr>
            <w:r>
              <w:rPr>
                <w:rFonts w:ascii="Times New Roman" w:eastAsia="方正仿宋简体" w:hAnsi="Times New Roman"/>
                <w:sz w:val="24"/>
              </w:rPr>
              <w:t>外墙瓷砖装饰，入户门为甲、乙级防盗门，房间门为高档实木门，地面</w:t>
            </w:r>
            <w:r>
              <w:rPr>
                <w:rFonts w:ascii="Times New Roman" w:eastAsia="方正仿宋简体" w:hAnsi="Times New Roman"/>
                <w:sz w:val="24"/>
              </w:rPr>
              <w:t>0.8*0.8</w:t>
            </w:r>
            <w:r>
              <w:rPr>
                <w:rFonts w:ascii="Times New Roman" w:eastAsia="方正仿宋简体" w:hAnsi="Times New Roman"/>
                <w:sz w:val="24"/>
              </w:rPr>
              <w:t>或</w:t>
            </w:r>
            <w:r>
              <w:rPr>
                <w:rFonts w:ascii="Times New Roman" w:eastAsia="方正仿宋简体" w:hAnsi="Times New Roman"/>
                <w:sz w:val="24"/>
              </w:rPr>
              <w:t>0.6*1.2</w:t>
            </w:r>
            <w:r>
              <w:rPr>
                <w:rFonts w:ascii="Times New Roman" w:eastAsia="方正仿宋简体" w:hAnsi="Times New Roman"/>
                <w:sz w:val="24"/>
              </w:rPr>
              <w:t>及以上瓷砖铺设、大理石拼花或实木地板，厅面整体贴砖、房间局部贴墙纸：天棚艺术吊顶（局部有造型）、室内设有部分壁柜；铝合金窗、外加防盗网，窗帘盒，阳台有防盗网；厨房瓷砖地面，瓷砖墙面，铝塑板吊顶；卫生间吊顶，知名品牌洁具；水电设施齐全。</w:t>
            </w:r>
          </w:p>
        </w:tc>
      </w:tr>
      <w:tr w:rsidR="00EE24C8" w14:paraId="5C7633EF" w14:textId="77777777">
        <w:trPr>
          <w:trHeight w:val="1859"/>
        </w:trPr>
        <w:tc>
          <w:tcPr>
            <w:tcW w:w="1260" w:type="dxa"/>
            <w:noWrap/>
            <w:vAlign w:val="center"/>
          </w:tcPr>
          <w:p w14:paraId="03663AE6"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二档</w:t>
            </w:r>
          </w:p>
        </w:tc>
        <w:tc>
          <w:tcPr>
            <w:tcW w:w="1368" w:type="dxa"/>
            <w:noWrap/>
            <w:vAlign w:val="center"/>
          </w:tcPr>
          <w:p w14:paraId="03EE3D2F"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500</w:t>
            </w:r>
          </w:p>
        </w:tc>
        <w:tc>
          <w:tcPr>
            <w:tcW w:w="6300" w:type="dxa"/>
            <w:noWrap/>
            <w:vAlign w:val="center"/>
          </w:tcPr>
          <w:p w14:paraId="65ADED51" w14:textId="77777777" w:rsidR="00EE24C8" w:rsidRDefault="00000000">
            <w:pPr>
              <w:spacing w:line="480" w:lineRule="exact"/>
              <w:rPr>
                <w:rFonts w:ascii="Times New Roman" w:eastAsia="方正仿宋简体" w:hAnsi="Times New Roman"/>
                <w:sz w:val="24"/>
              </w:rPr>
            </w:pPr>
            <w:r>
              <w:rPr>
                <w:rFonts w:ascii="Times New Roman" w:eastAsia="方正仿宋简体" w:hAnsi="Times New Roman"/>
                <w:sz w:val="24"/>
              </w:rPr>
              <w:t>外墙瓷砖装饰，入户门为乙、丙级防盗门，地面为</w:t>
            </w:r>
            <w:r>
              <w:rPr>
                <w:rFonts w:ascii="Times New Roman" w:eastAsia="方正仿宋简体" w:hAnsi="Times New Roman"/>
                <w:sz w:val="24"/>
              </w:rPr>
              <w:t>0.5*0.5</w:t>
            </w:r>
            <w:r>
              <w:rPr>
                <w:rFonts w:ascii="Times New Roman" w:eastAsia="方正仿宋简体" w:hAnsi="Times New Roman"/>
                <w:sz w:val="24"/>
              </w:rPr>
              <w:t>及以上瓷砖铺设、强化木地板地面；厅面半墙及以上贴砖或新型内墙材料装修：天棚铝塑板平吊、铝合金窗外加部分防盗网，阳台有防盗网；厨房瓷砖地面，瓷砖墙面，卫生间吊顶，洁具齐全；水电设施齐全。</w:t>
            </w:r>
          </w:p>
        </w:tc>
      </w:tr>
      <w:tr w:rsidR="00EE24C8" w14:paraId="2AFEFE56" w14:textId="77777777">
        <w:trPr>
          <w:trHeight w:val="1661"/>
        </w:trPr>
        <w:tc>
          <w:tcPr>
            <w:tcW w:w="1260" w:type="dxa"/>
            <w:noWrap/>
            <w:vAlign w:val="center"/>
          </w:tcPr>
          <w:p w14:paraId="3DB34D2A"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三档</w:t>
            </w:r>
          </w:p>
        </w:tc>
        <w:tc>
          <w:tcPr>
            <w:tcW w:w="1368" w:type="dxa"/>
            <w:noWrap/>
            <w:vAlign w:val="center"/>
          </w:tcPr>
          <w:p w14:paraId="22A408F8"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400</w:t>
            </w:r>
          </w:p>
        </w:tc>
        <w:tc>
          <w:tcPr>
            <w:tcW w:w="6300" w:type="dxa"/>
            <w:noWrap/>
            <w:vAlign w:val="center"/>
          </w:tcPr>
          <w:p w14:paraId="09F8DB3A" w14:textId="77777777" w:rsidR="00EE24C8" w:rsidRDefault="00000000">
            <w:pPr>
              <w:spacing w:line="480" w:lineRule="exact"/>
              <w:rPr>
                <w:rFonts w:ascii="Times New Roman" w:eastAsia="方正仿宋简体" w:hAnsi="Times New Roman"/>
                <w:sz w:val="24"/>
              </w:rPr>
            </w:pPr>
            <w:r>
              <w:rPr>
                <w:rFonts w:ascii="Times New Roman" w:eastAsia="方正仿宋简体" w:hAnsi="Times New Roman"/>
                <w:sz w:val="24"/>
              </w:rPr>
              <w:t>入户门为铁门、木门及丙、丁级防盗门，地面为普通花岗岩或普通瓷砖，内墙面或天棚为墙漆粉刷，天棚四周角线或塑料扣板吊顶：木门窗，卫生间洁具齐全，吊顶；水电设施齐全。</w:t>
            </w:r>
          </w:p>
        </w:tc>
      </w:tr>
      <w:tr w:rsidR="00EE24C8" w14:paraId="606F9D21" w14:textId="77777777">
        <w:trPr>
          <w:trHeight w:val="848"/>
        </w:trPr>
        <w:tc>
          <w:tcPr>
            <w:tcW w:w="1260" w:type="dxa"/>
            <w:noWrap/>
            <w:vAlign w:val="center"/>
          </w:tcPr>
          <w:p w14:paraId="137000E9"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四档</w:t>
            </w:r>
          </w:p>
        </w:tc>
        <w:tc>
          <w:tcPr>
            <w:tcW w:w="1368" w:type="dxa"/>
            <w:noWrap/>
            <w:vAlign w:val="center"/>
          </w:tcPr>
          <w:p w14:paraId="4ADFB20D"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300</w:t>
            </w:r>
          </w:p>
        </w:tc>
        <w:tc>
          <w:tcPr>
            <w:tcW w:w="6300" w:type="dxa"/>
            <w:noWrap/>
            <w:vAlign w:val="center"/>
          </w:tcPr>
          <w:p w14:paraId="02BE7A89" w14:textId="77777777" w:rsidR="00EE24C8" w:rsidRDefault="00000000">
            <w:pPr>
              <w:spacing w:line="480" w:lineRule="exact"/>
              <w:rPr>
                <w:rFonts w:ascii="Times New Roman" w:eastAsia="方正仿宋简体" w:hAnsi="Times New Roman"/>
                <w:sz w:val="24"/>
              </w:rPr>
            </w:pPr>
            <w:r>
              <w:rPr>
                <w:rFonts w:ascii="Times New Roman" w:eastAsia="方正仿宋简体" w:hAnsi="Times New Roman"/>
                <w:sz w:val="24"/>
              </w:rPr>
              <w:t>地面为普通瓷砖，墙面部分贴瓷砖，内墙面及天棚普通墙漆粉刷：木门窗，简单铁门，防盗栅，水电设施齐全。</w:t>
            </w:r>
          </w:p>
        </w:tc>
      </w:tr>
      <w:tr w:rsidR="00EE24C8" w14:paraId="283E4ECB" w14:textId="77777777">
        <w:trPr>
          <w:trHeight w:val="835"/>
        </w:trPr>
        <w:tc>
          <w:tcPr>
            <w:tcW w:w="1260" w:type="dxa"/>
            <w:noWrap/>
            <w:vAlign w:val="center"/>
          </w:tcPr>
          <w:p w14:paraId="34EBE025"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五档</w:t>
            </w:r>
          </w:p>
        </w:tc>
        <w:tc>
          <w:tcPr>
            <w:tcW w:w="1368" w:type="dxa"/>
            <w:noWrap/>
            <w:vAlign w:val="center"/>
          </w:tcPr>
          <w:p w14:paraId="5802BE29" w14:textId="77777777" w:rsidR="00EE24C8" w:rsidRDefault="00000000">
            <w:pPr>
              <w:jc w:val="center"/>
              <w:rPr>
                <w:rFonts w:ascii="Times New Roman" w:eastAsia="方正仿宋简体" w:hAnsi="Times New Roman"/>
                <w:sz w:val="24"/>
              </w:rPr>
            </w:pPr>
            <w:r>
              <w:rPr>
                <w:rFonts w:ascii="Times New Roman" w:eastAsia="方正仿宋简体" w:hAnsi="Times New Roman"/>
                <w:sz w:val="24"/>
              </w:rPr>
              <w:t>200</w:t>
            </w:r>
          </w:p>
        </w:tc>
        <w:tc>
          <w:tcPr>
            <w:tcW w:w="6300" w:type="dxa"/>
            <w:noWrap/>
            <w:vAlign w:val="center"/>
          </w:tcPr>
          <w:p w14:paraId="7C46191C" w14:textId="77777777" w:rsidR="00EE24C8" w:rsidRDefault="00000000">
            <w:pPr>
              <w:spacing w:line="480" w:lineRule="exact"/>
              <w:rPr>
                <w:rFonts w:ascii="Times New Roman" w:eastAsia="方正仿宋简体" w:hAnsi="Times New Roman"/>
                <w:sz w:val="24"/>
              </w:rPr>
            </w:pPr>
            <w:r>
              <w:rPr>
                <w:rFonts w:ascii="Times New Roman" w:eastAsia="方正仿宋简体" w:hAnsi="Times New Roman"/>
                <w:sz w:val="24"/>
              </w:rPr>
              <w:t>地面为地板砖或斗底砖，内墙面及天棚简单粉刷或部分粉刷：木门窗，简单铁门，防盗栅，水电设施齐全。</w:t>
            </w:r>
          </w:p>
        </w:tc>
      </w:tr>
    </w:tbl>
    <w:p w14:paraId="796192E4" w14:textId="77777777" w:rsidR="00EE24C8" w:rsidRDefault="00EE24C8">
      <w:pPr>
        <w:wordWrap w:val="0"/>
        <w:rPr>
          <w:rFonts w:ascii="Times New Roman" w:hAnsi="Times New Roman"/>
          <w:sz w:val="24"/>
        </w:rPr>
        <w:sectPr w:rsidR="00EE24C8">
          <w:footerReference w:type="even" r:id="rId8"/>
          <w:footerReference w:type="default" r:id="rId9"/>
          <w:pgSz w:w="11906" w:h="16838"/>
          <w:pgMar w:top="1701" w:right="1474" w:bottom="1701" w:left="1588" w:header="851" w:footer="992" w:gutter="0"/>
          <w:cols w:space="720"/>
          <w:docGrid w:type="lines" w:linePitch="312"/>
        </w:sectPr>
      </w:pPr>
    </w:p>
    <w:p w14:paraId="2F4D2A2B" w14:textId="77777777" w:rsidR="00EE24C8" w:rsidRDefault="00000000">
      <w:pPr>
        <w:wordWrap w:val="0"/>
        <w:spacing w:line="550" w:lineRule="exact"/>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附表四</w:t>
      </w:r>
    </w:p>
    <w:p w14:paraId="3E57787B" w14:textId="77777777" w:rsidR="00EE24C8" w:rsidRDefault="00000000">
      <w:pPr>
        <w:pStyle w:val="a0"/>
        <w:spacing w:line="55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房屋附属物补偿单价表</w:t>
      </w:r>
    </w:p>
    <w:p w14:paraId="3CB5DDC0" w14:textId="77777777" w:rsidR="00EE24C8" w:rsidRDefault="00000000">
      <w:pPr>
        <w:pStyle w:val="a0"/>
        <w:spacing w:line="550" w:lineRule="exact"/>
        <w:jc w:val="right"/>
        <w:rPr>
          <w:rFonts w:ascii="Times New Roman" w:eastAsia="方正小标宋简体" w:hAnsi="Times New Roman"/>
          <w:color w:val="000000"/>
          <w:sz w:val="44"/>
          <w:szCs w:val="44"/>
        </w:rPr>
      </w:pPr>
      <w:r>
        <w:rPr>
          <w:rFonts w:ascii="Times New Roman" w:eastAsia="黑体" w:hAnsi="Times New Roman"/>
          <w:color w:val="000000"/>
          <w:sz w:val="32"/>
          <w:szCs w:val="32"/>
        </w:rPr>
        <w:t>单位：</w:t>
      </w:r>
      <w:r>
        <w:rPr>
          <w:rFonts w:ascii="Times New Roman" w:hAnsi="Times New Roman"/>
          <w:color w:val="000000"/>
          <w:sz w:val="32"/>
          <w:szCs w:val="32"/>
        </w:rPr>
        <w:t>元</w:t>
      </w:r>
    </w:p>
    <w:tbl>
      <w:tblPr>
        <w:tblW w:w="14208" w:type="dxa"/>
        <w:jc w:val="center"/>
        <w:tblLayout w:type="fixed"/>
        <w:tblLook w:val="04A0" w:firstRow="1" w:lastRow="0" w:firstColumn="1" w:lastColumn="0" w:noHBand="0" w:noVBand="1"/>
      </w:tblPr>
      <w:tblGrid>
        <w:gridCol w:w="1483"/>
        <w:gridCol w:w="2480"/>
        <w:gridCol w:w="1880"/>
        <w:gridCol w:w="1633"/>
        <w:gridCol w:w="6732"/>
      </w:tblGrid>
      <w:tr w:rsidR="00EE24C8" w14:paraId="71EA5960" w14:textId="77777777">
        <w:trPr>
          <w:trHeight w:val="23"/>
          <w:tblHeader/>
          <w:jc w:val="center"/>
        </w:trPr>
        <w:tc>
          <w:tcPr>
            <w:tcW w:w="1483" w:type="dxa"/>
            <w:tcBorders>
              <w:top w:val="single" w:sz="4" w:space="0" w:color="auto"/>
              <w:left w:val="single" w:sz="4" w:space="0" w:color="auto"/>
              <w:bottom w:val="single" w:sz="4" w:space="0" w:color="auto"/>
              <w:right w:val="single" w:sz="4" w:space="0" w:color="auto"/>
            </w:tcBorders>
            <w:noWrap/>
            <w:vAlign w:val="center"/>
          </w:tcPr>
          <w:p w14:paraId="2808EB23" w14:textId="77777777" w:rsidR="00EE24C8" w:rsidRDefault="00000000">
            <w:pPr>
              <w:widowControl/>
              <w:spacing w:line="480" w:lineRule="exact"/>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项目</w:t>
            </w:r>
          </w:p>
        </w:tc>
        <w:tc>
          <w:tcPr>
            <w:tcW w:w="2480" w:type="dxa"/>
            <w:tcBorders>
              <w:top w:val="single" w:sz="4" w:space="0" w:color="auto"/>
              <w:left w:val="nil"/>
              <w:bottom w:val="single" w:sz="4" w:space="0" w:color="auto"/>
              <w:right w:val="single" w:sz="4" w:space="0" w:color="auto"/>
            </w:tcBorders>
            <w:noWrap/>
            <w:vAlign w:val="center"/>
          </w:tcPr>
          <w:p w14:paraId="79317621" w14:textId="77777777" w:rsidR="00EE24C8" w:rsidRDefault="00000000">
            <w:pPr>
              <w:widowControl/>
              <w:spacing w:line="480" w:lineRule="exact"/>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种</w:t>
            </w:r>
            <w:r>
              <w:rPr>
                <w:rFonts w:ascii="Times New Roman" w:eastAsia="黑体" w:hAnsi="Times New Roman"/>
                <w:color w:val="000000"/>
                <w:kern w:val="0"/>
                <w:sz w:val="28"/>
                <w:szCs w:val="28"/>
              </w:rPr>
              <w:t xml:space="preserve"> </w:t>
            </w:r>
            <w:r>
              <w:rPr>
                <w:rFonts w:ascii="Times New Roman" w:eastAsia="黑体" w:hAnsi="Times New Roman"/>
                <w:color w:val="000000"/>
                <w:kern w:val="0"/>
                <w:sz w:val="28"/>
                <w:szCs w:val="28"/>
              </w:rPr>
              <w:t>类</w:t>
            </w:r>
          </w:p>
        </w:tc>
        <w:tc>
          <w:tcPr>
            <w:tcW w:w="1880" w:type="dxa"/>
            <w:tcBorders>
              <w:top w:val="single" w:sz="4" w:space="0" w:color="auto"/>
              <w:left w:val="nil"/>
              <w:bottom w:val="single" w:sz="4" w:space="0" w:color="auto"/>
              <w:right w:val="single" w:sz="4" w:space="0" w:color="auto"/>
            </w:tcBorders>
            <w:noWrap/>
            <w:vAlign w:val="center"/>
          </w:tcPr>
          <w:p w14:paraId="798DB6B6" w14:textId="77777777" w:rsidR="00EE24C8" w:rsidRDefault="00000000">
            <w:pPr>
              <w:widowControl/>
              <w:spacing w:line="480" w:lineRule="exact"/>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计算单位</w:t>
            </w:r>
          </w:p>
        </w:tc>
        <w:tc>
          <w:tcPr>
            <w:tcW w:w="1633" w:type="dxa"/>
            <w:tcBorders>
              <w:top w:val="single" w:sz="4" w:space="0" w:color="auto"/>
              <w:left w:val="nil"/>
              <w:bottom w:val="single" w:sz="4" w:space="0" w:color="auto"/>
              <w:right w:val="single" w:sz="4" w:space="0" w:color="auto"/>
            </w:tcBorders>
            <w:noWrap/>
            <w:vAlign w:val="center"/>
          </w:tcPr>
          <w:p w14:paraId="4CA76585" w14:textId="77777777" w:rsidR="00EE24C8" w:rsidRDefault="00000000">
            <w:pPr>
              <w:widowControl/>
              <w:spacing w:line="480" w:lineRule="exact"/>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单</w:t>
            </w:r>
            <w:r>
              <w:rPr>
                <w:rFonts w:ascii="Times New Roman" w:eastAsia="黑体" w:hAnsi="Times New Roman"/>
                <w:color w:val="000000"/>
                <w:kern w:val="0"/>
                <w:sz w:val="28"/>
                <w:szCs w:val="28"/>
              </w:rPr>
              <w:t xml:space="preserve"> </w:t>
            </w:r>
            <w:r>
              <w:rPr>
                <w:rFonts w:ascii="Times New Roman" w:eastAsia="黑体" w:hAnsi="Times New Roman"/>
                <w:color w:val="000000"/>
                <w:kern w:val="0"/>
                <w:sz w:val="28"/>
                <w:szCs w:val="28"/>
              </w:rPr>
              <w:t>价</w:t>
            </w:r>
          </w:p>
        </w:tc>
        <w:tc>
          <w:tcPr>
            <w:tcW w:w="6732" w:type="dxa"/>
            <w:tcBorders>
              <w:top w:val="single" w:sz="4" w:space="0" w:color="auto"/>
              <w:left w:val="nil"/>
              <w:bottom w:val="single" w:sz="4" w:space="0" w:color="auto"/>
              <w:right w:val="single" w:sz="4" w:space="0" w:color="auto"/>
            </w:tcBorders>
            <w:noWrap/>
            <w:vAlign w:val="center"/>
          </w:tcPr>
          <w:p w14:paraId="4CEE6D77" w14:textId="77777777" w:rsidR="00EE24C8" w:rsidRDefault="00000000">
            <w:pPr>
              <w:widowControl/>
              <w:spacing w:line="480" w:lineRule="exact"/>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说</w:t>
            </w:r>
            <w:r>
              <w:rPr>
                <w:rFonts w:ascii="Times New Roman" w:eastAsia="黑体" w:hAnsi="Times New Roman"/>
                <w:color w:val="000000"/>
                <w:kern w:val="0"/>
                <w:sz w:val="28"/>
                <w:szCs w:val="28"/>
              </w:rPr>
              <w:t xml:space="preserve">  </w:t>
            </w:r>
            <w:r>
              <w:rPr>
                <w:rFonts w:ascii="Times New Roman" w:eastAsia="黑体" w:hAnsi="Times New Roman"/>
                <w:color w:val="000000"/>
                <w:kern w:val="0"/>
                <w:sz w:val="28"/>
                <w:szCs w:val="28"/>
              </w:rPr>
              <w:t>明</w:t>
            </w:r>
          </w:p>
        </w:tc>
      </w:tr>
      <w:tr w:rsidR="00EE24C8" w14:paraId="05F6ED0E" w14:textId="77777777">
        <w:trPr>
          <w:trHeight w:val="23"/>
          <w:jc w:val="center"/>
        </w:trPr>
        <w:tc>
          <w:tcPr>
            <w:tcW w:w="1483" w:type="dxa"/>
            <w:vMerge w:val="restart"/>
            <w:tcBorders>
              <w:top w:val="nil"/>
              <w:left w:val="single" w:sz="4" w:space="0" w:color="auto"/>
              <w:bottom w:val="single" w:sz="4" w:space="0" w:color="auto"/>
              <w:right w:val="single" w:sz="4" w:space="0" w:color="auto"/>
            </w:tcBorders>
            <w:noWrap/>
            <w:vAlign w:val="center"/>
          </w:tcPr>
          <w:p w14:paraId="4673AE56"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整体橱柜</w:t>
            </w:r>
          </w:p>
        </w:tc>
        <w:tc>
          <w:tcPr>
            <w:tcW w:w="2480" w:type="dxa"/>
            <w:tcBorders>
              <w:top w:val="nil"/>
              <w:left w:val="nil"/>
              <w:bottom w:val="single" w:sz="4" w:space="0" w:color="auto"/>
              <w:right w:val="single" w:sz="4" w:space="0" w:color="auto"/>
            </w:tcBorders>
            <w:noWrap/>
            <w:vAlign w:val="center"/>
          </w:tcPr>
          <w:p w14:paraId="5EF3F9D3"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台面</w:t>
            </w:r>
          </w:p>
        </w:tc>
        <w:tc>
          <w:tcPr>
            <w:tcW w:w="1880" w:type="dxa"/>
            <w:tcBorders>
              <w:top w:val="nil"/>
              <w:left w:val="nil"/>
              <w:bottom w:val="single" w:sz="4" w:space="0" w:color="auto"/>
              <w:right w:val="single" w:sz="4" w:space="0" w:color="auto"/>
            </w:tcBorders>
            <w:noWrap/>
            <w:vAlign w:val="center"/>
          </w:tcPr>
          <w:p w14:paraId="50C3F2A9"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米</w:t>
            </w:r>
          </w:p>
        </w:tc>
        <w:tc>
          <w:tcPr>
            <w:tcW w:w="1633" w:type="dxa"/>
            <w:tcBorders>
              <w:top w:val="nil"/>
              <w:left w:val="nil"/>
              <w:bottom w:val="single" w:sz="4" w:space="0" w:color="auto"/>
              <w:right w:val="single" w:sz="4" w:space="0" w:color="auto"/>
            </w:tcBorders>
            <w:noWrap/>
            <w:vAlign w:val="center"/>
          </w:tcPr>
          <w:p w14:paraId="08412387"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w:t>
            </w:r>
          </w:p>
        </w:tc>
        <w:tc>
          <w:tcPr>
            <w:tcW w:w="6732" w:type="dxa"/>
            <w:tcBorders>
              <w:top w:val="nil"/>
              <w:left w:val="nil"/>
              <w:bottom w:val="single" w:sz="4" w:space="0" w:color="auto"/>
              <w:right w:val="single" w:sz="4" w:space="0" w:color="auto"/>
            </w:tcBorders>
            <w:noWrap/>
            <w:vAlign w:val="center"/>
          </w:tcPr>
          <w:p w14:paraId="45FC9542"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花岗岩或人造石英石台面</w:t>
            </w:r>
          </w:p>
        </w:tc>
      </w:tr>
      <w:tr w:rsidR="00EE24C8" w14:paraId="6F86F218"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6CF0F106"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725B633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下柜</w:t>
            </w:r>
          </w:p>
        </w:tc>
        <w:tc>
          <w:tcPr>
            <w:tcW w:w="1880" w:type="dxa"/>
            <w:tcBorders>
              <w:top w:val="nil"/>
              <w:left w:val="nil"/>
              <w:bottom w:val="single" w:sz="4" w:space="0" w:color="auto"/>
              <w:right w:val="single" w:sz="4" w:space="0" w:color="auto"/>
            </w:tcBorders>
            <w:noWrap/>
            <w:vAlign w:val="center"/>
          </w:tcPr>
          <w:p w14:paraId="36F96449"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米</w:t>
            </w:r>
          </w:p>
        </w:tc>
        <w:tc>
          <w:tcPr>
            <w:tcW w:w="1633" w:type="dxa"/>
            <w:tcBorders>
              <w:top w:val="nil"/>
              <w:left w:val="nil"/>
              <w:bottom w:val="single" w:sz="4" w:space="0" w:color="auto"/>
              <w:right w:val="single" w:sz="4" w:space="0" w:color="auto"/>
            </w:tcBorders>
            <w:noWrap/>
            <w:vAlign w:val="center"/>
          </w:tcPr>
          <w:p w14:paraId="1889066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600</w:t>
            </w:r>
          </w:p>
        </w:tc>
        <w:tc>
          <w:tcPr>
            <w:tcW w:w="6732" w:type="dxa"/>
            <w:tcBorders>
              <w:top w:val="nil"/>
              <w:left w:val="nil"/>
              <w:bottom w:val="single" w:sz="4" w:space="0" w:color="auto"/>
              <w:right w:val="single" w:sz="4" w:space="0" w:color="auto"/>
            </w:tcBorders>
            <w:noWrap/>
            <w:vAlign w:val="center"/>
          </w:tcPr>
          <w:p w14:paraId="5BC6AA7A"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防潮板定制，柜门完整</w:t>
            </w:r>
          </w:p>
        </w:tc>
      </w:tr>
      <w:tr w:rsidR="00EE24C8" w14:paraId="4BC13CFA"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27027283"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23EFE5BB"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上柜</w:t>
            </w:r>
          </w:p>
        </w:tc>
        <w:tc>
          <w:tcPr>
            <w:tcW w:w="1880" w:type="dxa"/>
            <w:tcBorders>
              <w:top w:val="nil"/>
              <w:left w:val="nil"/>
              <w:bottom w:val="single" w:sz="4" w:space="0" w:color="auto"/>
              <w:right w:val="single" w:sz="4" w:space="0" w:color="auto"/>
            </w:tcBorders>
            <w:noWrap/>
            <w:vAlign w:val="center"/>
          </w:tcPr>
          <w:p w14:paraId="454CFE1E"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米</w:t>
            </w:r>
          </w:p>
        </w:tc>
        <w:tc>
          <w:tcPr>
            <w:tcW w:w="1633" w:type="dxa"/>
            <w:tcBorders>
              <w:top w:val="nil"/>
              <w:left w:val="nil"/>
              <w:bottom w:val="single" w:sz="4" w:space="0" w:color="auto"/>
              <w:right w:val="single" w:sz="4" w:space="0" w:color="auto"/>
            </w:tcBorders>
            <w:noWrap/>
            <w:vAlign w:val="center"/>
          </w:tcPr>
          <w:p w14:paraId="35BD8DCE"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350</w:t>
            </w:r>
          </w:p>
        </w:tc>
        <w:tc>
          <w:tcPr>
            <w:tcW w:w="6732" w:type="dxa"/>
            <w:tcBorders>
              <w:top w:val="nil"/>
              <w:left w:val="nil"/>
              <w:bottom w:val="single" w:sz="4" w:space="0" w:color="auto"/>
              <w:right w:val="single" w:sz="4" w:space="0" w:color="auto"/>
            </w:tcBorders>
            <w:noWrap/>
            <w:vAlign w:val="center"/>
          </w:tcPr>
          <w:p w14:paraId="43F5E78F"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人造板定制，柜门完整</w:t>
            </w:r>
          </w:p>
        </w:tc>
      </w:tr>
      <w:tr w:rsidR="00EE24C8" w14:paraId="48ED32FA" w14:textId="77777777">
        <w:trPr>
          <w:trHeight w:val="23"/>
          <w:jc w:val="center"/>
        </w:trPr>
        <w:tc>
          <w:tcPr>
            <w:tcW w:w="1483" w:type="dxa"/>
            <w:vMerge w:val="restart"/>
            <w:tcBorders>
              <w:top w:val="nil"/>
              <w:left w:val="single" w:sz="4" w:space="0" w:color="auto"/>
              <w:bottom w:val="single" w:sz="4" w:space="0" w:color="auto"/>
              <w:right w:val="single" w:sz="4" w:space="0" w:color="auto"/>
            </w:tcBorders>
            <w:noWrap/>
            <w:vAlign w:val="center"/>
          </w:tcPr>
          <w:p w14:paraId="4F4D2F77"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水池水柜</w:t>
            </w:r>
          </w:p>
        </w:tc>
        <w:tc>
          <w:tcPr>
            <w:tcW w:w="2480" w:type="dxa"/>
            <w:tcBorders>
              <w:top w:val="nil"/>
              <w:left w:val="nil"/>
              <w:bottom w:val="single" w:sz="4" w:space="0" w:color="auto"/>
              <w:right w:val="single" w:sz="4" w:space="0" w:color="auto"/>
            </w:tcBorders>
            <w:noWrap/>
            <w:vAlign w:val="center"/>
          </w:tcPr>
          <w:p w14:paraId="5F22D09B"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抹水泥砖</w:t>
            </w:r>
          </w:p>
        </w:tc>
        <w:tc>
          <w:tcPr>
            <w:tcW w:w="1880" w:type="dxa"/>
            <w:tcBorders>
              <w:top w:val="nil"/>
              <w:left w:val="nil"/>
              <w:bottom w:val="single" w:sz="4" w:space="0" w:color="auto"/>
              <w:right w:val="single" w:sz="4" w:space="0" w:color="auto"/>
            </w:tcBorders>
            <w:noWrap/>
            <w:vAlign w:val="center"/>
          </w:tcPr>
          <w:p w14:paraId="55A9A51F"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个</w:t>
            </w:r>
          </w:p>
        </w:tc>
        <w:tc>
          <w:tcPr>
            <w:tcW w:w="1633" w:type="dxa"/>
            <w:tcBorders>
              <w:top w:val="nil"/>
              <w:left w:val="nil"/>
              <w:bottom w:val="single" w:sz="4" w:space="0" w:color="auto"/>
              <w:right w:val="single" w:sz="4" w:space="0" w:color="auto"/>
            </w:tcBorders>
            <w:noWrap/>
            <w:vAlign w:val="center"/>
          </w:tcPr>
          <w:p w14:paraId="683075CB"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100</w:t>
            </w:r>
          </w:p>
        </w:tc>
        <w:tc>
          <w:tcPr>
            <w:tcW w:w="6732" w:type="dxa"/>
            <w:vMerge w:val="restart"/>
            <w:tcBorders>
              <w:top w:val="nil"/>
              <w:left w:val="single" w:sz="4" w:space="0" w:color="auto"/>
              <w:bottom w:val="single" w:sz="4" w:space="0" w:color="auto"/>
              <w:right w:val="single" w:sz="4" w:space="0" w:color="auto"/>
            </w:tcBorders>
            <w:noWrap/>
            <w:vAlign w:val="center"/>
          </w:tcPr>
          <w:p w14:paraId="2623DD4A"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指厨房或浴室内洗刷用小水池小水柜或室外搭设</w:t>
            </w:r>
          </w:p>
        </w:tc>
      </w:tr>
      <w:tr w:rsidR="00EE24C8" w14:paraId="2DB56D6A"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4EC98B85"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24FA39F8"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砖贴瓷砖</w:t>
            </w:r>
          </w:p>
        </w:tc>
        <w:tc>
          <w:tcPr>
            <w:tcW w:w="1880" w:type="dxa"/>
            <w:tcBorders>
              <w:top w:val="nil"/>
              <w:left w:val="nil"/>
              <w:bottom w:val="single" w:sz="4" w:space="0" w:color="auto"/>
              <w:right w:val="single" w:sz="4" w:space="0" w:color="auto"/>
            </w:tcBorders>
            <w:noWrap/>
            <w:vAlign w:val="center"/>
          </w:tcPr>
          <w:p w14:paraId="2E8EB1F7"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个</w:t>
            </w:r>
          </w:p>
        </w:tc>
        <w:tc>
          <w:tcPr>
            <w:tcW w:w="1633" w:type="dxa"/>
            <w:tcBorders>
              <w:top w:val="nil"/>
              <w:left w:val="nil"/>
              <w:bottom w:val="single" w:sz="4" w:space="0" w:color="auto"/>
              <w:right w:val="single" w:sz="4" w:space="0" w:color="auto"/>
            </w:tcBorders>
            <w:noWrap/>
            <w:vAlign w:val="center"/>
          </w:tcPr>
          <w:p w14:paraId="334E2686"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150</w:t>
            </w:r>
          </w:p>
        </w:tc>
        <w:tc>
          <w:tcPr>
            <w:tcW w:w="6732" w:type="dxa"/>
            <w:vMerge/>
            <w:tcBorders>
              <w:top w:val="nil"/>
              <w:left w:val="single" w:sz="4" w:space="0" w:color="auto"/>
              <w:bottom w:val="single" w:sz="4" w:space="0" w:color="auto"/>
              <w:right w:val="single" w:sz="4" w:space="0" w:color="auto"/>
            </w:tcBorders>
            <w:vAlign w:val="center"/>
          </w:tcPr>
          <w:p w14:paraId="5828BBB1" w14:textId="77777777" w:rsidR="00EE24C8" w:rsidRDefault="00EE24C8">
            <w:pPr>
              <w:widowControl/>
              <w:spacing w:line="480" w:lineRule="exact"/>
              <w:jc w:val="left"/>
              <w:rPr>
                <w:rFonts w:ascii="Times New Roman" w:eastAsia="方正仿宋简体" w:hAnsi="Times New Roman"/>
                <w:color w:val="000000"/>
                <w:kern w:val="0"/>
                <w:sz w:val="28"/>
                <w:szCs w:val="28"/>
              </w:rPr>
            </w:pPr>
          </w:p>
        </w:tc>
      </w:tr>
      <w:tr w:rsidR="00EE24C8" w14:paraId="7D4B2107"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24333581"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5B985FF7"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洗面台</w:t>
            </w:r>
          </w:p>
        </w:tc>
        <w:tc>
          <w:tcPr>
            <w:tcW w:w="1880" w:type="dxa"/>
            <w:tcBorders>
              <w:top w:val="nil"/>
              <w:left w:val="nil"/>
              <w:bottom w:val="single" w:sz="4" w:space="0" w:color="auto"/>
              <w:right w:val="single" w:sz="4" w:space="0" w:color="auto"/>
            </w:tcBorders>
            <w:noWrap/>
            <w:vAlign w:val="center"/>
          </w:tcPr>
          <w:p w14:paraId="7FA67938"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米</w:t>
            </w:r>
          </w:p>
        </w:tc>
        <w:tc>
          <w:tcPr>
            <w:tcW w:w="1633" w:type="dxa"/>
            <w:tcBorders>
              <w:top w:val="nil"/>
              <w:left w:val="nil"/>
              <w:bottom w:val="single" w:sz="4" w:space="0" w:color="auto"/>
              <w:right w:val="single" w:sz="4" w:space="0" w:color="auto"/>
            </w:tcBorders>
            <w:noWrap/>
            <w:vAlign w:val="center"/>
          </w:tcPr>
          <w:p w14:paraId="3085482A"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400</w:t>
            </w:r>
          </w:p>
        </w:tc>
        <w:tc>
          <w:tcPr>
            <w:tcW w:w="6732" w:type="dxa"/>
            <w:tcBorders>
              <w:top w:val="nil"/>
              <w:left w:val="nil"/>
              <w:bottom w:val="single" w:sz="4" w:space="0" w:color="auto"/>
              <w:right w:val="single" w:sz="4" w:space="0" w:color="auto"/>
            </w:tcBorders>
            <w:noWrap/>
            <w:vAlign w:val="center"/>
          </w:tcPr>
          <w:p w14:paraId="042E3F9D"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花岗岩、大理石宽式台面的</w:t>
            </w:r>
          </w:p>
        </w:tc>
      </w:tr>
      <w:tr w:rsidR="00EE24C8" w14:paraId="48A278AB" w14:textId="77777777">
        <w:trPr>
          <w:trHeight w:val="23"/>
          <w:jc w:val="center"/>
        </w:trPr>
        <w:tc>
          <w:tcPr>
            <w:tcW w:w="1483" w:type="dxa"/>
            <w:vMerge w:val="restart"/>
            <w:tcBorders>
              <w:top w:val="nil"/>
              <w:left w:val="single" w:sz="4" w:space="0" w:color="auto"/>
              <w:bottom w:val="single" w:sz="4" w:space="0" w:color="auto"/>
              <w:right w:val="single" w:sz="4" w:space="0" w:color="auto"/>
            </w:tcBorders>
            <w:noWrap/>
            <w:vAlign w:val="center"/>
          </w:tcPr>
          <w:p w14:paraId="463F162F"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厕所</w:t>
            </w:r>
          </w:p>
        </w:tc>
        <w:tc>
          <w:tcPr>
            <w:tcW w:w="2480" w:type="dxa"/>
            <w:tcBorders>
              <w:top w:val="nil"/>
              <w:left w:val="nil"/>
              <w:bottom w:val="single" w:sz="4" w:space="0" w:color="auto"/>
              <w:right w:val="single" w:sz="4" w:space="0" w:color="auto"/>
            </w:tcBorders>
            <w:noWrap/>
            <w:vAlign w:val="center"/>
          </w:tcPr>
          <w:p w14:paraId="7D42E0A9"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蹲</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t>位</w:t>
            </w:r>
          </w:p>
        </w:tc>
        <w:tc>
          <w:tcPr>
            <w:tcW w:w="1880" w:type="dxa"/>
            <w:tcBorders>
              <w:top w:val="nil"/>
              <w:left w:val="nil"/>
              <w:bottom w:val="single" w:sz="4" w:space="0" w:color="auto"/>
              <w:right w:val="single" w:sz="4" w:space="0" w:color="auto"/>
            </w:tcBorders>
            <w:noWrap/>
            <w:vAlign w:val="center"/>
          </w:tcPr>
          <w:p w14:paraId="09B1C090"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个</w:t>
            </w:r>
          </w:p>
        </w:tc>
        <w:tc>
          <w:tcPr>
            <w:tcW w:w="1633" w:type="dxa"/>
            <w:tcBorders>
              <w:top w:val="nil"/>
              <w:left w:val="nil"/>
              <w:bottom w:val="single" w:sz="4" w:space="0" w:color="auto"/>
              <w:right w:val="single" w:sz="4" w:space="0" w:color="auto"/>
            </w:tcBorders>
            <w:noWrap/>
            <w:vAlign w:val="center"/>
          </w:tcPr>
          <w:p w14:paraId="03350FE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200</w:t>
            </w:r>
          </w:p>
        </w:tc>
        <w:tc>
          <w:tcPr>
            <w:tcW w:w="6732" w:type="dxa"/>
            <w:tcBorders>
              <w:top w:val="nil"/>
              <w:left w:val="nil"/>
              <w:bottom w:val="single" w:sz="4" w:space="0" w:color="auto"/>
              <w:right w:val="single" w:sz="4" w:space="0" w:color="auto"/>
            </w:tcBorders>
            <w:noWrap/>
            <w:vAlign w:val="center"/>
          </w:tcPr>
          <w:p w14:paraId="25AF1417"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室内</w:t>
            </w:r>
          </w:p>
        </w:tc>
      </w:tr>
      <w:tr w:rsidR="00EE24C8" w14:paraId="760448FA"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1BFC1F73"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324F44C3"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坐</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t>盆</w:t>
            </w:r>
          </w:p>
        </w:tc>
        <w:tc>
          <w:tcPr>
            <w:tcW w:w="1880" w:type="dxa"/>
            <w:tcBorders>
              <w:top w:val="nil"/>
              <w:left w:val="nil"/>
              <w:bottom w:val="single" w:sz="4" w:space="0" w:color="auto"/>
              <w:right w:val="single" w:sz="4" w:space="0" w:color="auto"/>
            </w:tcBorders>
            <w:noWrap/>
            <w:vAlign w:val="center"/>
          </w:tcPr>
          <w:p w14:paraId="260DB958"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个</w:t>
            </w:r>
          </w:p>
        </w:tc>
        <w:tc>
          <w:tcPr>
            <w:tcW w:w="1633" w:type="dxa"/>
            <w:tcBorders>
              <w:top w:val="nil"/>
              <w:left w:val="nil"/>
              <w:bottom w:val="single" w:sz="4" w:space="0" w:color="auto"/>
              <w:right w:val="single" w:sz="4" w:space="0" w:color="auto"/>
            </w:tcBorders>
            <w:noWrap/>
            <w:vAlign w:val="center"/>
          </w:tcPr>
          <w:p w14:paraId="778C29E6"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w:t>
            </w:r>
          </w:p>
        </w:tc>
        <w:tc>
          <w:tcPr>
            <w:tcW w:w="6732" w:type="dxa"/>
            <w:tcBorders>
              <w:top w:val="nil"/>
              <w:left w:val="nil"/>
              <w:bottom w:val="single" w:sz="4" w:space="0" w:color="auto"/>
              <w:right w:val="single" w:sz="4" w:space="0" w:color="auto"/>
            </w:tcBorders>
            <w:noWrap/>
            <w:vAlign w:val="center"/>
          </w:tcPr>
          <w:p w14:paraId="573060F4"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室内</w:t>
            </w:r>
          </w:p>
        </w:tc>
      </w:tr>
      <w:tr w:rsidR="00EE24C8" w14:paraId="544BE9E8" w14:textId="77777777">
        <w:trPr>
          <w:trHeight w:val="23"/>
          <w:jc w:val="center"/>
        </w:trPr>
        <w:tc>
          <w:tcPr>
            <w:tcW w:w="1483" w:type="dxa"/>
            <w:vMerge w:val="restart"/>
            <w:tcBorders>
              <w:top w:val="nil"/>
              <w:left w:val="single" w:sz="4" w:space="0" w:color="auto"/>
              <w:bottom w:val="single" w:sz="4" w:space="0" w:color="auto"/>
              <w:right w:val="single" w:sz="4" w:space="0" w:color="auto"/>
            </w:tcBorders>
            <w:noWrap/>
            <w:vAlign w:val="center"/>
          </w:tcPr>
          <w:p w14:paraId="1D70A4F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简易搭盖</w:t>
            </w:r>
          </w:p>
        </w:tc>
        <w:tc>
          <w:tcPr>
            <w:tcW w:w="2480" w:type="dxa"/>
            <w:tcBorders>
              <w:top w:val="nil"/>
              <w:left w:val="nil"/>
              <w:bottom w:val="single" w:sz="4" w:space="0" w:color="auto"/>
              <w:right w:val="single" w:sz="4" w:space="0" w:color="auto"/>
            </w:tcBorders>
            <w:noWrap/>
            <w:vAlign w:val="center"/>
          </w:tcPr>
          <w:p w14:paraId="057490CA"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油毛毡</w:t>
            </w:r>
          </w:p>
        </w:tc>
        <w:tc>
          <w:tcPr>
            <w:tcW w:w="1880" w:type="dxa"/>
            <w:vMerge w:val="restart"/>
            <w:tcBorders>
              <w:top w:val="nil"/>
              <w:left w:val="single" w:sz="4" w:space="0" w:color="auto"/>
              <w:bottom w:val="single" w:sz="4" w:space="0" w:color="auto"/>
              <w:right w:val="single" w:sz="4" w:space="0" w:color="auto"/>
            </w:tcBorders>
            <w:noWrap/>
            <w:vAlign w:val="center"/>
          </w:tcPr>
          <w:p w14:paraId="63E343B0"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平方米</w:t>
            </w:r>
          </w:p>
        </w:tc>
        <w:tc>
          <w:tcPr>
            <w:tcW w:w="1633" w:type="dxa"/>
            <w:vMerge w:val="restart"/>
            <w:tcBorders>
              <w:top w:val="nil"/>
              <w:left w:val="single" w:sz="4" w:space="0" w:color="auto"/>
              <w:bottom w:val="single" w:sz="4" w:space="0" w:color="auto"/>
              <w:right w:val="single" w:sz="4" w:space="0" w:color="auto"/>
            </w:tcBorders>
            <w:noWrap/>
            <w:vAlign w:val="center"/>
          </w:tcPr>
          <w:p w14:paraId="20A89A85"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150</w:t>
            </w:r>
          </w:p>
        </w:tc>
        <w:tc>
          <w:tcPr>
            <w:tcW w:w="6732" w:type="dxa"/>
            <w:vMerge w:val="restart"/>
            <w:tcBorders>
              <w:top w:val="nil"/>
              <w:left w:val="single" w:sz="4" w:space="0" w:color="auto"/>
              <w:bottom w:val="single" w:sz="4" w:space="0" w:color="auto"/>
              <w:right w:val="single" w:sz="4" w:space="0" w:color="auto"/>
            </w:tcBorders>
            <w:noWrap/>
            <w:vAlign w:val="center"/>
          </w:tcPr>
          <w:p w14:paraId="7F3CA326"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指主架竹、木、机砖、空心砖，屋面油毛毡、木棉瓦</w:t>
            </w:r>
          </w:p>
        </w:tc>
      </w:tr>
      <w:tr w:rsidR="00EE24C8" w14:paraId="4E904E9B" w14:textId="77777777">
        <w:trPr>
          <w:trHeight w:val="510"/>
          <w:jc w:val="center"/>
        </w:trPr>
        <w:tc>
          <w:tcPr>
            <w:tcW w:w="1483" w:type="dxa"/>
            <w:vMerge/>
            <w:tcBorders>
              <w:top w:val="nil"/>
              <w:left w:val="single" w:sz="4" w:space="0" w:color="auto"/>
              <w:bottom w:val="single" w:sz="4" w:space="0" w:color="auto"/>
              <w:right w:val="single" w:sz="4" w:space="0" w:color="auto"/>
            </w:tcBorders>
            <w:vAlign w:val="center"/>
          </w:tcPr>
          <w:p w14:paraId="7F5941EB"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1E42D001"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木棉瓦</w:t>
            </w:r>
          </w:p>
        </w:tc>
        <w:tc>
          <w:tcPr>
            <w:tcW w:w="1880" w:type="dxa"/>
            <w:vMerge/>
            <w:tcBorders>
              <w:top w:val="nil"/>
              <w:left w:val="single" w:sz="4" w:space="0" w:color="auto"/>
              <w:bottom w:val="single" w:sz="4" w:space="0" w:color="auto"/>
              <w:right w:val="single" w:sz="4" w:space="0" w:color="auto"/>
            </w:tcBorders>
            <w:vAlign w:val="center"/>
          </w:tcPr>
          <w:p w14:paraId="0432851E"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1633" w:type="dxa"/>
            <w:vMerge/>
            <w:tcBorders>
              <w:top w:val="nil"/>
              <w:left w:val="single" w:sz="4" w:space="0" w:color="auto"/>
              <w:bottom w:val="single" w:sz="4" w:space="0" w:color="auto"/>
              <w:right w:val="single" w:sz="4" w:space="0" w:color="auto"/>
            </w:tcBorders>
            <w:vAlign w:val="center"/>
          </w:tcPr>
          <w:p w14:paraId="21297FB4"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6732" w:type="dxa"/>
            <w:vMerge/>
            <w:tcBorders>
              <w:top w:val="nil"/>
              <w:left w:val="single" w:sz="4" w:space="0" w:color="auto"/>
              <w:bottom w:val="single" w:sz="4" w:space="0" w:color="auto"/>
              <w:right w:val="single" w:sz="4" w:space="0" w:color="auto"/>
            </w:tcBorders>
            <w:vAlign w:val="center"/>
          </w:tcPr>
          <w:p w14:paraId="5014F1E2" w14:textId="77777777" w:rsidR="00EE24C8" w:rsidRDefault="00EE24C8">
            <w:pPr>
              <w:widowControl/>
              <w:spacing w:line="480" w:lineRule="exact"/>
              <w:jc w:val="left"/>
              <w:rPr>
                <w:rFonts w:ascii="Times New Roman" w:eastAsia="方正仿宋简体" w:hAnsi="Times New Roman"/>
                <w:color w:val="000000"/>
                <w:kern w:val="0"/>
                <w:sz w:val="28"/>
                <w:szCs w:val="28"/>
              </w:rPr>
            </w:pPr>
          </w:p>
        </w:tc>
      </w:tr>
      <w:tr w:rsidR="00EE24C8" w14:paraId="729767B4"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1124728B"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3E4AF6FE"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铁</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t>皮</w:t>
            </w:r>
          </w:p>
        </w:tc>
        <w:tc>
          <w:tcPr>
            <w:tcW w:w="1880" w:type="dxa"/>
            <w:tcBorders>
              <w:top w:val="nil"/>
              <w:left w:val="nil"/>
              <w:bottom w:val="single" w:sz="4" w:space="0" w:color="auto"/>
              <w:right w:val="single" w:sz="4" w:space="0" w:color="auto"/>
            </w:tcBorders>
            <w:noWrap/>
            <w:vAlign w:val="center"/>
          </w:tcPr>
          <w:p w14:paraId="5CF24676"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平方米</w:t>
            </w:r>
          </w:p>
        </w:tc>
        <w:tc>
          <w:tcPr>
            <w:tcW w:w="1633" w:type="dxa"/>
            <w:tcBorders>
              <w:top w:val="nil"/>
              <w:left w:val="nil"/>
              <w:bottom w:val="single" w:sz="4" w:space="0" w:color="auto"/>
              <w:right w:val="single" w:sz="4" w:space="0" w:color="auto"/>
            </w:tcBorders>
            <w:noWrap/>
            <w:vAlign w:val="center"/>
          </w:tcPr>
          <w:p w14:paraId="5586150D"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250</w:t>
            </w:r>
          </w:p>
        </w:tc>
        <w:tc>
          <w:tcPr>
            <w:tcW w:w="6732" w:type="dxa"/>
            <w:tcBorders>
              <w:top w:val="nil"/>
              <w:left w:val="nil"/>
              <w:bottom w:val="single" w:sz="4" w:space="0" w:color="auto"/>
              <w:right w:val="single" w:sz="4" w:space="0" w:color="auto"/>
            </w:tcBorders>
            <w:noWrap/>
            <w:vAlign w:val="center"/>
          </w:tcPr>
          <w:p w14:paraId="13E27B0D"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指主架机砖、空心砖，屋面铁皮</w:t>
            </w:r>
          </w:p>
        </w:tc>
      </w:tr>
      <w:tr w:rsidR="00EE24C8" w14:paraId="00F907E6"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35725742"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7E8A43FB"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活动板房</w:t>
            </w:r>
          </w:p>
        </w:tc>
        <w:tc>
          <w:tcPr>
            <w:tcW w:w="1880" w:type="dxa"/>
            <w:tcBorders>
              <w:top w:val="nil"/>
              <w:left w:val="nil"/>
              <w:bottom w:val="single" w:sz="4" w:space="0" w:color="auto"/>
              <w:right w:val="single" w:sz="4" w:space="0" w:color="auto"/>
            </w:tcBorders>
            <w:noWrap/>
            <w:vAlign w:val="center"/>
          </w:tcPr>
          <w:p w14:paraId="195EFF8E"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平方米</w:t>
            </w:r>
          </w:p>
        </w:tc>
        <w:tc>
          <w:tcPr>
            <w:tcW w:w="1633" w:type="dxa"/>
            <w:tcBorders>
              <w:top w:val="nil"/>
              <w:left w:val="nil"/>
              <w:bottom w:val="single" w:sz="4" w:space="0" w:color="auto"/>
              <w:right w:val="single" w:sz="4" w:space="0" w:color="auto"/>
            </w:tcBorders>
            <w:noWrap/>
            <w:vAlign w:val="center"/>
          </w:tcPr>
          <w:p w14:paraId="6C7E985D"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w:t>
            </w:r>
          </w:p>
        </w:tc>
        <w:tc>
          <w:tcPr>
            <w:tcW w:w="6732" w:type="dxa"/>
            <w:tcBorders>
              <w:top w:val="nil"/>
              <w:left w:val="nil"/>
              <w:bottom w:val="single" w:sz="4" w:space="0" w:color="auto"/>
              <w:right w:val="single" w:sz="4" w:space="0" w:color="auto"/>
            </w:tcBorders>
            <w:noWrap/>
            <w:vAlign w:val="center"/>
          </w:tcPr>
          <w:p w14:paraId="4FA82750"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 xml:space="preserve">　</w:t>
            </w:r>
          </w:p>
        </w:tc>
      </w:tr>
      <w:tr w:rsidR="00EE24C8" w14:paraId="1C638398" w14:textId="77777777">
        <w:trPr>
          <w:trHeight w:val="23"/>
          <w:jc w:val="center"/>
        </w:trPr>
        <w:tc>
          <w:tcPr>
            <w:tcW w:w="1483" w:type="dxa"/>
            <w:vMerge w:val="restart"/>
            <w:tcBorders>
              <w:top w:val="nil"/>
              <w:left w:val="single" w:sz="4" w:space="0" w:color="auto"/>
              <w:bottom w:val="single" w:sz="4" w:space="0" w:color="auto"/>
              <w:right w:val="single" w:sz="4" w:space="0" w:color="auto"/>
            </w:tcBorders>
            <w:noWrap/>
            <w:vAlign w:val="center"/>
          </w:tcPr>
          <w:p w14:paraId="6CB0C23E"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水塔</w:t>
            </w:r>
          </w:p>
        </w:tc>
        <w:tc>
          <w:tcPr>
            <w:tcW w:w="2480" w:type="dxa"/>
            <w:tcBorders>
              <w:top w:val="nil"/>
              <w:left w:val="nil"/>
              <w:bottom w:val="single" w:sz="4" w:space="0" w:color="auto"/>
              <w:right w:val="single" w:sz="4" w:space="0" w:color="auto"/>
            </w:tcBorders>
            <w:noWrap/>
            <w:vAlign w:val="center"/>
          </w:tcPr>
          <w:p w14:paraId="5418AD80"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普</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t>通</w:t>
            </w:r>
          </w:p>
        </w:tc>
        <w:tc>
          <w:tcPr>
            <w:tcW w:w="1880" w:type="dxa"/>
            <w:tcBorders>
              <w:top w:val="nil"/>
              <w:left w:val="nil"/>
              <w:bottom w:val="single" w:sz="4" w:space="0" w:color="auto"/>
              <w:right w:val="single" w:sz="4" w:space="0" w:color="auto"/>
            </w:tcBorders>
            <w:noWrap/>
            <w:vAlign w:val="center"/>
          </w:tcPr>
          <w:p w14:paraId="51C4D8F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个</w:t>
            </w:r>
          </w:p>
        </w:tc>
        <w:tc>
          <w:tcPr>
            <w:tcW w:w="1633" w:type="dxa"/>
            <w:tcBorders>
              <w:top w:val="nil"/>
              <w:left w:val="nil"/>
              <w:bottom w:val="single" w:sz="4" w:space="0" w:color="auto"/>
              <w:right w:val="single" w:sz="4" w:space="0" w:color="auto"/>
            </w:tcBorders>
            <w:noWrap/>
            <w:vAlign w:val="center"/>
          </w:tcPr>
          <w:p w14:paraId="07C3A6C4"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500</w:t>
            </w:r>
          </w:p>
        </w:tc>
        <w:tc>
          <w:tcPr>
            <w:tcW w:w="6732" w:type="dxa"/>
            <w:tcBorders>
              <w:top w:val="nil"/>
              <w:left w:val="nil"/>
              <w:bottom w:val="single" w:sz="4" w:space="0" w:color="auto"/>
              <w:right w:val="single" w:sz="4" w:space="0" w:color="auto"/>
            </w:tcBorders>
            <w:noWrap/>
            <w:vAlign w:val="center"/>
          </w:tcPr>
          <w:p w14:paraId="77E1616D"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 xml:space="preserve">　</w:t>
            </w:r>
          </w:p>
        </w:tc>
      </w:tr>
      <w:tr w:rsidR="00EE24C8" w14:paraId="5FDF8EE9"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30BC0E66"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39813107"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不锈钢</w:t>
            </w:r>
          </w:p>
        </w:tc>
        <w:tc>
          <w:tcPr>
            <w:tcW w:w="1880" w:type="dxa"/>
            <w:tcBorders>
              <w:top w:val="nil"/>
              <w:left w:val="nil"/>
              <w:bottom w:val="single" w:sz="4" w:space="0" w:color="auto"/>
              <w:right w:val="single" w:sz="4" w:space="0" w:color="auto"/>
            </w:tcBorders>
            <w:noWrap/>
            <w:vAlign w:val="center"/>
          </w:tcPr>
          <w:p w14:paraId="2C42A87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个</w:t>
            </w:r>
          </w:p>
        </w:tc>
        <w:tc>
          <w:tcPr>
            <w:tcW w:w="1633" w:type="dxa"/>
            <w:tcBorders>
              <w:top w:val="nil"/>
              <w:left w:val="nil"/>
              <w:bottom w:val="single" w:sz="4" w:space="0" w:color="auto"/>
              <w:right w:val="single" w:sz="4" w:space="0" w:color="auto"/>
            </w:tcBorders>
            <w:noWrap/>
            <w:vAlign w:val="center"/>
          </w:tcPr>
          <w:p w14:paraId="1444DB28"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600</w:t>
            </w:r>
          </w:p>
        </w:tc>
        <w:tc>
          <w:tcPr>
            <w:tcW w:w="6732" w:type="dxa"/>
            <w:tcBorders>
              <w:top w:val="nil"/>
              <w:left w:val="nil"/>
              <w:bottom w:val="single" w:sz="4" w:space="0" w:color="auto"/>
              <w:right w:val="single" w:sz="4" w:space="0" w:color="auto"/>
            </w:tcBorders>
            <w:noWrap/>
            <w:vAlign w:val="center"/>
          </w:tcPr>
          <w:p w14:paraId="30985AC9"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 xml:space="preserve">　</w:t>
            </w:r>
          </w:p>
        </w:tc>
      </w:tr>
      <w:tr w:rsidR="00EE24C8" w14:paraId="028D7E1F"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1E7A5BD6"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5721D664"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spacing w:val="-6"/>
                <w:kern w:val="0"/>
                <w:sz w:val="28"/>
                <w:szCs w:val="28"/>
              </w:rPr>
              <w:t>水塔（</w:t>
            </w:r>
            <w:r>
              <w:rPr>
                <w:rFonts w:ascii="Times New Roman" w:eastAsia="方正仿宋简体" w:hAnsi="Times New Roman"/>
                <w:color w:val="000000"/>
                <w:spacing w:val="-6"/>
                <w:kern w:val="0"/>
                <w:sz w:val="28"/>
                <w:szCs w:val="28"/>
              </w:rPr>
              <w:t>10m3</w:t>
            </w:r>
            <w:r>
              <w:rPr>
                <w:rFonts w:ascii="Times New Roman" w:eastAsia="方正仿宋简体" w:hAnsi="Times New Roman"/>
                <w:color w:val="000000"/>
                <w:spacing w:val="-6"/>
                <w:kern w:val="0"/>
                <w:sz w:val="28"/>
                <w:szCs w:val="28"/>
              </w:rPr>
              <w:t>以上者）</w:t>
            </w:r>
          </w:p>
        </w:tc>
        <w:tc>
          <w:tcPr>
            <w:tcW w:w="1880" w:type="dxa"/>
            <w:tcBorders>
              <w:top w:val="nil"/>
              <w:left w:val="nil"/>
              <w:bottom w:val="single" w:sz="4" w:space="0" w:color="auto"/>
              <w:right w:val="single" w:sz="4" w:space="0" w:color="auto"/>
            </w:tcBorders>
            <w:noWrap/>
            <w:vAlign w:val="center"/>
          </w:tcPr>
          <w:p w14:paraId="482A9644"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立方米</w:t>
            </w:r>
          </w:p>
        </w:tc>
        <w:tc>
          <w:tcPr>
            <w:tcW w:w="1633" w:type="dxa"/>
            <w:tcBorders>
              <w:top w:val="nil"/>
              <w:left w:val="nil"/>
              <w:bottom w:val="single" w:sz="4" w:space="0" w:color="auto"/>
              <w:right w:val="single" w:sz="4" w:space="0" w:color="auto"/>
            </w:tcBorders>
            <w:noWrap/>
            <w:vAlign w:val="center"/>
          </w:tcPr>
          <w:p w14:paraId="24D383AC"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w:t>
            </w:r>
          </w:p>
        </w:tc>
        <w:tc>
          <w:tcPr>
            <w:tcW w:w="6732" w:type="dxa"/>
            <w:tcBorders>
              <w:top w:val="nil"/>
              <w:left w:val="nil"/>
              <w:bottom w:val="single" w:sz="4" w:space="0" w:color="auto"/>
              <w:right w:val="single" w:sz="4" w:space="0" w:color="auto"/>
            </w:tcBorders>
            <w:noWrap/>
            <w:vAlign w:val="center"/>
          </w:tcPr>
          <w:p w14:paraId="616F3693"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 xml:space="preserve">　</w:t>
            </w:r>
          </w:p>
        </w:tc>
      </w:tr>
      <w:tr w:rsidR="00EE24C8" w14:paraId="0752A349" w14:textId="77777777">
        <w:trPr>
          <w:trHeight w:val="23"/>
          <w:jc w:val="center"/>
        </w:trPr>
        <w:tc>
          <w:tcPr>
            <w:tcW w:w="1483" w:type="dxa"/>
            <w:vMerge w:val="restart"/>
            <w:tcBorders>
              <w:top w:val="single" w:sz="4" w:space="0" w:color="auto"/>
              <w:left w:val="single" w:sz="4" w:space="0" w:color="auto"/>
              <w:bottom w:val="single" w:sz="4" w:space="0" w:color="auto"/>
              <w:right w:val="single" w:sz="4" w:space="0" w:color="auto"/>
            </w:tcBorders>
            <w:noWrap/>
            <w:vAlign w:val="center"/>
          </w:tcPr>
          <w:p w14:paraId="092C2124"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lastRenderedPageBreak/>
              <w:t>其他</w:t>
            </w:r>
          </w:p>
        </w:tc>
        <w:tc>
          <w:tcPr>
            <w:tcW w:w="2480" w:type="dxa"/>
            <w:tcBorders>
              <w:top w:val="single" w:sz="4" w:space="0" w:color="auto"/>
              <w:left w:val="nil"/>
              <w:bottom w:val="single" w:sz="4" w:space="0" w:color="auto"/>
              <w:right w:val="single" w:sz="4" w:space="0" w:color="auto"/>
            </w:tcBorders>
            <w:noWrap/>
            <w:vAlign w:val="center"/>
          </w:tcPr>
          <w:p w14:paraId="7D000631"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阁</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t>楼</w:t>
            </w:r>
          </w:p>
        </w:tc>
        <w:tc>
          <w:tcPr>
            <w:tcW w:w="1880" w:type="dxa"/>
            <w:tcBorders>
              <w:top w:val="single" w:sz="4" w:space="0" w:color="auto"/>
              <w:left w:val="nil"/>
              <w:bottom w:val="single" w:sz="4" w:space="0" w:color="auto"/>
              <w:right w:val="single" w:sz="4" w:space="0" w:color="auto"/>
            </w:tcBorders>
            <w:noWrap/>
            <w:vAlign w:val="center"/>
          </w:tcPr>
          <w:p w14:paraId="04FA8BC4"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平方米</w:t>
            </w:r>
          </w:p>
        </w:tc>
        <w:tc>
          <w:tcPr>
            <w:tcW w:w="1633" w:type="dxa"/>
            <w:tcBorders>
              <w:top w:val="single" w:sz="4" w:space="0" w:color="auto"/>
              <w:left w:val="nil"/>
              <w:bottom w:val="single" w:sz="4" w:space="0" w:color="auto"/>
              <w:right w:val="single" w:sz="4" w:space="0" w:color="auto"/>
            </w:tcBorders>
            <w:noWrap/>
            <w:vAlign w:val="center"/>
          </w:tcPr>
          <w:p w14:paraId="1AD0A038"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180</w:t>
            </w:r>
          </w:p>
        </w:tc>
        <w:tc>
          <w:tcPr>
            <w:tcW w:w="6732" w:type="dxa"/>
            <w:vMerge w:val="restart"/>
            <w:tcBorders>
              <w:top w:val="single" w:sz="4" w:space="0" w:color="auto"/>
              <w:left w:val="single" w:sz="4" w:space="0" w:color="auto"/>
              <w:bottom w:val="single" w:sz="4" w:space="0" w:color="auto"/>
              <w:right w:val="single" w:sz="4" w:space="0" w:color="auto"/>
            </w:tcBorders>
            <w:noWrap/>
            <w:vAlign w:val="center"/>
          </w:tcPr>
          <w:p w14:paraId="509F38CB"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和房屋同时建造且层高</w:t>
            </w:r>
            <w:r>
              <w:rPr>
                <w:rFonts w:ascii="Times New Roman" w:eastAsia="方正仿宋简体" w:hAnsi="Times New Roman"/>
                <w:color w:val="000000"/>
                <w:kern w:val="0"/>
                <w:sz w:val="28"/>
                <w:szCs w:val="28"/>
              </w:rPr>
              <w:t>H&lt;1.6m</w:t>
            </w:r>
          </w:p>
        </w:tc>
      </w:tr>
      <w:tr w:rsidR="00EE24C8" w14:paraId="74083780"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084ECB57"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51DB7556"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风</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t>楼</w:t>
            </w:r>
          </w:p>
        </w:tc>
        <w:tc>
          <w:tcPr>
            <w:tcW w:w="1880" w:type="dxa"/>
            <w:tcBorders>
              <w:top w:val="nil"/>
              <w:left w:val="nil"/>
              <w:bottom w:val="single" w:sz="4" w:space="0" w:color="auto"/>
              <w:right w:val="single" w:sz="4" w:space="0" w:color="auto"/>
            </w:tcBorders>
            <w:noWrap/>
            <w:vAlign w:val="center"/>
          </w:tcPr>
          <w:p w14:paraId="6B314EF0"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平方米</w:t>
            </w:r>
          </w:p>
        </w:tc>
        <w:tc>
          <w:tcPr>
            <w:tcW w:w="1633" w:type="dxa"/>
            <w:tcBorders>
              <w:top w:val="nil"/>
              <w:left w:val="nil"/>
              <w:bottom w:val="single" w:sz="4" w:space="0" w:color="auto"/>
              <w:right w:val="single" w:sz="4" w:space="0" w:color="auto"/>
            </w:tcBorders>
            <w:noWrap/>
            <w:vAlign w:val="center"/>
          </w:tcPr>
          <w:p w14:paraId="5DAE4033"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w:t>
            </w:r>
          </w:p>
        </w:tc>
        <w:tc>
          <w:tcPr>
            <w:tcW w:w="6732" w:type="dxa"/>
            <w:vMerge/>
            <w:tcBorders>
              <w:top w:val="nil"/>
              <w:left w:val="single" w:sz="4" w:space="0" w:color="auto"/>
              <w:bottom w:val="single" w:sz="4" w:space="0" w:color="auto"/>
              <w:right w:val="single" w:sz="4" w:space="0" w:color="auto"/>
            </w:tcBorders>
            <w:vAlign w:val="center"/>
          </w:tcPr>
          <w:p w14:paraId="00E1DDD7" w14:textId="77777777" w:rsidR="00EE24C8" w:rsidRDefault="00EE24C8">
            <w:pPr>
              <w:widowControl/>
              <w:spacing w:line="480" w:lineRule="exact"/>
              <w:jc w:val="left"/>
              <w:rPr>
                <w:rFonts w:ascii="Times New Roman" w:eastAsia="方正仿宋简体" w:hAnsi="Times New Roman"/>
                <w:color w:val="000000"/>
                <w:kern w:val="0"/>
                <w:sz w:val="28"/>
                <w:szCs w:val="28"/>
              </w:rPr>
            </w:pPr>
          </w:p>
        </w:tc>
      </w:tr>
      <w:tr w:rsidR="00EE24C8" w14:paraId="6DE0A11B"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7A4624C1"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vMerge w:val="restart"/>
            <w:tcBorders>
              <w:top w:val="nil"/>
              <w:left w:val="single" w:sz="4" w:space="0" w:color="auto"/>
              <w:bottom w:val="single" w:sz="4" w:space="0" w:color="auto"/>
              <w:right w:val="single" w:sz="4" w:space="0" w:color="auto"/>
            </w:tcBorders>
            <w:noWrap/>
            <w:vAlign w:val="center"/>
          </w:tcPr>
          <w:p w14:paraId="6FFD0436"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壁</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t>橱</w:t>
            </w:r>
          </w:p>
        </w:tc>
        <w:tc>
          <w:tcPr>
            <w:tcW w:w="1880" w:type="dxa"/>
            <w:tcBorders>
              <w:top w:val="nil"/>
              <w:left w:val="nil"/>
              <w:bottom w:val="single" w:sz="4" w:space="0" w:color="auto"/>
              <w:right w:val="single" w:sz="4" w:space="0" w:color="auto"/>
            </w:tcBorders>
            <w:noWrap/>
            <w:vAlign w:val="center"/>
          </w:tcPr>
          <w:p w14:paraId="58976E7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米</w:t>
            </w:r>
          </w:p>
        </w:tc>
        <w:tc>
          <w:tcPr>
            <w:tcW w:w="1633" w:type="dxa"/>
            <w:tcBorders>
              <w:top w:val="nil"/>
              <w:left w:val="nil"/>
              <w:bottom w:val="single" w:sz="4" w:space="0" w:color="auto"/>
              <w:right w:val="single" w:sz="4" w:space="0" w:color="auto"/>
            </w:tcBorders>
            <w:noWrap/>
            <w:vAlign w:val="center"/>
          </w:tcPr>
          <w:p w14:paraId="4474FBBB"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300-600</w:t>
            </w:r>
          </w:p>
        </w:tc>
        <w:tc>
          <w:tcPr>
            <w:tcW w:w="6732" w:type="dxa"/>
            <w:tcBorders>
              <w:top w:val="nil"/>
              <w:left w:val="nil"/>
              <w:bottom w:val="single" w:sz="4" w:space="0" w:color="auto"/>
              <w:right w:val="single" w:sz="4" w:space="0" w:color="auto"/>
            </w:tcBorders>
            <w:noWrap/>
            <w:vAlign w:val="center"/>
          </w:tcPr>
          <w:p w14:paraId="56EA197C"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高度</w:t>
            </w:r>
            <w:r>
              <w:rPr>
                <w:rFonts w:ascii="Times New Roman" w:eastAsia="方正仿宋简体" w:hAnsi="Times New Roman"/>
                <w:color w:val="000000"/>
                <w:kern w:val="0"/>
                <w:sz w:val="28"/>
                <w:szCs w:val="28"/>
              </w:rPr>
              <w:t>1.5-2.0</w:t>
            </w:r>
            <w:r>
              <w:rPr>
                <w:rFonts w:ascii="Times New Roman" w:eastAsia="方正仿宋简体" w:hAnsi="Times New Roman"/>
                <w:color w:val="000000"/>
                <w:kern w:val="0"/>
                <w:sz w:val="28"/>
                <w:szCs w:val="28"/>
              </w:rPr>
              <w:t>米，简易木板、门扇（或无门扇）</w:t>
            </w:r>
          </w:p>
        </w:tc>
      </w:tr>
      <w:tr w:rsidR="00EE24C8" w14:paraId="3C7415A7"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5D917AB3"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vMerge/>
            <w:tcBorders>
              <w:top w:val="nil"/>
              <w:left w:val="single" w:sz="4" w:space="0" w:color="auto"/>
              <w:bottom w:val="single" w:sz="4" w:space="0" w:color="auto"/>
              <w:right w:val="single" w:sz="4" w:space="0" w:color="auto"/>
            </w:tcBorders>
            <w:vAlign w:val="center"/>
          </w:tcPr>
          <w:p w14:paraId="311D0277"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1880" w:type="dxa"/>
            <w:tcBorders>
              <w:top w:val="nil"/>
              <w:left w:val="nil"/>
              <w:bottom w:val="single" w:sz="4" w:space="0" w:color="auto"/>
              <w:right w:val="single" w:sz="4" w:space="0" w:color="auto"/>
            </w:tcBorders>
            <w:noWrap/>
            <w:vAlign w:val="center"/>
          </w:tcPr>
          <w:p w14:paraId="40F4561D"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米</w:t>
            </w:r>
          </w:p>
        </w:tc>
        <w:tc>
          <w:tcPr>
            <w:tcW w:w="1633" w:type="dxa"/>
            <w:tcBorders>
              <w:top w:val="nil"/>
              <w:left w:val="nil"/>
              <w:bottom w:val="single" w:sz="4" w:space="0" w:color="auto"/>
              <w:right w:val="single" w:sz="4" w:space="0" w:color="auto"/>
            </w:tcBorders>
            <w:noWrap/>
            <w:vAlign w:val="center"/>
          </w:tcPr>
          <w:p w14:paraId="789869ED"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700-900</w:t>
            </w:r>
          </w:p>
        </w:tc>
        <w:tc>
          <w:tcPr>
            <w:tcW w:w="6732" w:type="dxa"/>
            <w:tcBorders>
              <w:top w:val="nil"/>
              <w:left w:val="nil"/>
              <w:bottom w:val="single" w:sz="4" w:space="0" w:color="auto"/>
              <w:right w:val="single" w:sz="4" w:space="0" w:color="auto"/>
            </w:tcBorders>
            <w:noWrap/>
            <w:vAlign w:val="center"/>
          </w:tcPr>
          <w:p w14:paraId="0A24AFAC"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高度</w:t>
            </w:r>
            <w:r>
              <w:rPr>
                <w:rFonts w:ascii="Times New Roman" w:eastAsia="方正仿宋简体" w:hAnsi="Times New Roman"/>
                <w:color w:val="000000"/>
                <w:kern w:val="0"/>
                <w:sz w:val="28"/>
                <w:szCs w:val="28"/>
              </w:rPr>
              <w:t>1.5-2.2</w:t>
            </w:r>
            <w:r>
              <w:rPr>
                <w:rFonts w:ascii="Times New Roman" w:eastAsia="方正仿宋简体" w:hAnsi="Times New Roman"/>
                <w:color w:val="000000"/>
                <w:kern w:val="0"/>
                <w:sz w:val="28"/>
                <w:szCs w:val="28"/>
              </w:rPr>
              <w:t>米，精制木板、有门扇或移门</w:t>
            </w:r>
          </w:p>
        </w:tc>
      </w:tr>
      <w:tr w:rsidR="00EE24C8" w14:paraId="66E53E2F"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4C6F7C09"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vMerge/>
            <w:tcBorders>
              <w:top w:val="nil"/>
              <w:left w:val="single" w:sz="4" w:space="0" w:color="auto"/>
              <w:bottom w:val="single" w:sz="4" w:space="0" w:color="auto"/>
              <w:right w:val="single" w:sz="4" w:space="0" w:color="auto"/>
            </w:tcBorders>
            <w:vAlign w:val="center"/>
          </w:tcPr>
          <w:p w14:paraId="6BF65356"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1880" w:type="dxa"/>
            <w:tcBorders>
              <w:top w:val="nil"/>
              <w:left w:val="nil"/>
              <w:bottom w:val="single" w:sz="4" w:space="0" w:color="auto"/>
              <w:right w:val="single" w:sz="4" w:space="0" w:color="auto"/>
            </w:tcBorders>
            <w:noWrap/>
            <w:vAlign w:val="center"/>
          </w:tcPr>
          <w:p w14:paraId="63E803ED"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米</w:t>
            </w:r>
          </w:p>
        </w:tc>
        <w:tc>
          <w:tcPr>
            <w:tcW w:w="1633" w:type="dxa"/>
            <w:tcBorders>
              <w:top w:val="nil"/>
              <w:left w:val="nil"/>
              <w:bottom w:val="single" w:sz="4" w:space="0" w:color="auto"/>
              <w:right w:val="single" w:sz="4" w:space="0" w:color="auto"/>
            </w:tcBorders>
            <w:noWrap/>
            <w:vAlign w:val="center"/>
          </w:tcPr>
          <w:p w14:paraId="56EB7456"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1000-1200</w:t>
            </w:r>
          </w:p>
        </w:tc>
        <w:tc>
          <w:tcPr>
            <w:tcW w:w="6732" w:type="dxa"/>
            <w:tcBorders>
              <w:top w:val="nil"/>
              <w:left w:val="nil"/>
              <w:bottom w:val="single" w:sz="4" w:space="0" w:color="auto"/>
              <w:right w:val="single" w:sz="4" w:space="0" w:color="auto"/>
            </w:tcBorders>
            <w:noWrap/>
            <w:vAlign w:val="center"/>
          </w:tcPr>
          <w:p w14:paraId="21DAEDE5"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高度</w:t>
            </w:r>
            <w:r>
              <w:rPr>
                <w:rFonts w:ascii="Times New Roman" w:eastAsia="方正仿宋简体" w:hAnsi="Times New Roman"/>
                <w:color w:val="000000"/>
                <w:kern w:val="0"/>
                <w:sz w:val="28"/>
                <w:szCs w:val="28"/>
              </w:rPr>
              <w:t>2.2-2.8</w:t>
            </w:r>
            <w:r>
              <w:rPr>
                <w:rFonts w:ascii="Times New Roman" w:eastAsia="方正仿宋简体" w:hAnsi="Times New Roman"/>
                <w:color w:val="000000"/>
                <w:kern w:val="0"/>
                <w:sz w:val="28"/>
                <w:szCs w:val="28"/>
              </w:rPr>
              <w:t>米及以上，成品定制集成壁橱</w:t>
            </w:r>
          </w:p>
        </w:tc>
      </w:tr>
      <w:tr w:rsidR="00EE24C8" w14:paraId="3752A0FB"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038F82AB"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33949BAF"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浴</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t>室</w:t>
            </w:r>
          </w:p>
        </w:tc>
        <w:tc>
          <w:tcPr>
            <w:tcW w:w="1880" w:type="dxa"/>
            <w:tcBorders>
              <w:top w:val="nil"/>
              <w:left w:val="nil"/>
              <w:bottom w:val="single" w:sz="4" w:space="0" w:color="auto"/>
              <w:right w:val="single" w:sz="4" w:space="0" w:color="auto"/>
            </w:tcBorders>
            <w:noWrap/>
            <w:vAlign w:val="center"/>
          </w:tcPr>
          <w:p w14:paraId="67255FF0"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间</w:t>
            </w:r>
          </w:p>
        </w:tc>
        <w:tc>
          <w:tcPr>
            <w:tcW w:w="1633" w:type="dxa"/>
            <w:tcBorders>
              <w:top w:val="nil"/>
              <w:left w:val="nil"/>
              <w:bottom w:val="single" w:sz="4" w:space="0" w:color="auto"/>
              <w:right w:val="single" w:sz="4" w:space="0" w:color="auto"/>
            </w:tcBorders>
            <w:noWrap/>
            <w:vAlign w:val="center"/>
          </w:tcPr>
          <w:p w14:paraId="1FDE7273"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650</w:t>
            </w:r>
          </w:p>
        </w:tc>
        <w:tc>
          <w:tcPr>
            <w:tcW w:w="6732" w:type="dxa"/>
            <w:tcBorders>
              <w:top w:val="nil"/>
              <w:left w:val="nil"/>
              <w:bottom w:val="single" w:sz="4" w:space="0" w:color="auto"/>
              <w:right w:val="single" w:sz="4" w:space="0" w:color="auto"/>
            </w:tcBorders>
            <w:noWrap/>
            <w:vAlign w:val="center"/>
          </w:tcPr>
          <w:p w14:paraId="33D96DB6"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指室外单独建造</w:t>
            </w:r>
          </w:p>
        </w:tc>
      </w:tr>
      <w:tr w:rsidR="00EE24C8" w14:paraId="45D346F3" w14:textId="77777777">
        <w:trPr>
          <w:trHeight w:val="23"/>
          <w:jc w:val="center"/>
        </w:trPr>
        <w:tc>
          <w:tcPr>
            <w:tcW w:w="1483" w:type="dxa"/>
            <w:vMerge w:val="restart"/>
            <w:tcBorders>
              <w:top w:val="single" w:sz="4" w:space="0" w:color="auto"/>
              <w:left w:val="single" w:sz="4" w:space="0" w:color="auto"/>
              <w:bottom w:val="single" w:sz="4" w:space="0" w:color="auto"/>
              <w:right w:val="single" w:sz="4" w:space="0" w:color="auto"/>
            </w:tcBorders>
            <w:noWrap/>
            <w:vAlign w:val="center"/>
          </w:tcPr>
          <w:p w14:paraId="77F68A0F"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其他</w:t>
            </w:r>
          </w:p>
        </w:tc>
        <w:tc>
          <w:tcPr>
            <w:tcW w:w="2480" w:type="dxa"/>
            <w:tcBorders>
              <w:top w:val="single" w:sz="4" w:space="0" w:color="auto"/>
              <w:left w:val="nil"/>
              <w:bottom w:val="single" w:sz="4" w:space="0" w:color="auto"/>
              <w:right w:val="single" w:sz="4" w:space="0" w:color="auto"/>
            </w:tcBorders>
            <w:noWrap/>
            <w:vAlign w:val="center"/>
          </w:tcPr>
          <w:p w14:paraId="481B493A"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有围防晒台</w:t>
            </w:r>
          </w:p>
        </w:tc>
        <w:tc>
          <w:tcPr>
            <w:tcW w:w="1880" w:type="dxa"/>
            <w:tcBorders>
              <w:top w:val="single" w:sz="4" w:space="0" w:color="auto"/>
              <w:left w:val="nil"/>
              <w:bottom w:val="single" w:sz="4" w:space="0" w:color="auto"/>
              <w:right w:val="single" w:sz="4" w:space="0" w:color="auto"/>
            </w:tcBorders>
            <w:noWrap/>
            <w:vAlign w:val="center"/>
          </w:tcPr>
          <w:p w14:paraId="59D4FF93"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平方米</w:t>
            </w:r>
          </w:p>
        </w:tc>
        <w:tc>
          <w:tcPr>
            <w:tcW w:w="1633" w:type="dxa"/>
            <w:tcBorders>
              <w:top w:val="single" w:sz="4" w:space="0" w:color="auto"/>
              <w:left w:val="nil"/>
              <w:bottom w:val="single" w:sz="4" w:space="0" w:color="auto"/>
              <w:right w:val="single" w:sz="4" w:space="0" w:color="auto"/>
            </w:tcBorders>
            <w:noWrap/>
            <w:vAlign w:val="center"/>
          </w:tcPr>
          <w:p w14:paraId="5B5D8B8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150</w:t>
            </w:r>
          </w:p>
        </w:tc>
        <w:tc>
          <w:tcPr>
            <w:tcW w:w="6732" w:type="dxa"/>
            <w:tcBorders>
              <w:top w:val="single" w:sz="4" w:space="0" w:color="auto"/>
              <w:left w:val="nil"/>
              <w:bottom w:val="single" w:sz="4" w:space="0" w:color="auto"/>
              <w:right w:val="single" w:sz="4" w:space="0" w:color="auto"/>
            </w:tcBorders>
            <w:noWrap/>
            <w:vAlign w:val="center"/>
          </w:tcPr>
          <w:p w14:paraId="2EBDE3A7"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 xml:space="preserve">　</w:t>
            </w:r>
          </w:p>
        </w:tc>
      </w:tr>
      <w:tr w:rsidR="00EE24C8" w14:paraId="023051CF"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5555A47A"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5193D21B"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室外楼梯（铁）</w:t>
            </w:r>
          </w:p>
        </w:tc>
        <w:tc>
          <w:tcPr>
            <w:tcW w:w="1880" w:type="dxa"/>
            <w:tcBorders>
              <w:top w:val="nil"/>
              <w:left w:val="nil"/>
              <w:bottom w:val="single" w:sz="4" w:space="0" w:color="auto"/>
              <w:right w:val="single" w:sz="4" w:space="0" w:color="auto"/>
            </w:tcBorders>
            <w:noWrap/>
            <w:vAlign w:val="center"/>
          </w:tcPr>
          <w:p w14:paraId="2EF04454"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台阶</w:t>
            </w:r>
          </w:p>
        </w:tc>
        <w:tc>
          <w:tcPr>
            <w:tcW w:w="1633" w:type="dxa"/>
            <w:tcBorders>
              <w:top w:val="nil"/>
              <w:left w:val="nil"/>
              <w:bottom w:val="single" w:sz="4" w:space="0" w:color="auto"/>
              <w:right w:val="single" w:sz="4" w:space="0" w:color="auto"/>
            </w:tcBorders>
            <w:noWrap/>
            <w:vAlign w:val="center"/>
          </w:tcPr>
          <w:p w14:paraId="527A2148"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80</w:t>
            </w:r>
          </w:p>
        </w:tc>
        <w:tc>
          <w:tcPr>
            <w:tcW w:w="6732" w:type="dxa"/>
            <w:tcBorders>
              <w:top w:val="nil"/>
              <w:left w:val="nil"/>
              <w:bottom w:val="single" w:sz="4" w:space="0" w:color="auto"/>
              <w:right w:val="single" w:sz="4" w:space="0" w:color="auto"/>
            </w:tcBorders>
            <w:noWrap/>
            <w:vAlign w:val="center"/>
          </w:tcPr>
          <w:p w14:paraId="325BAE09"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不锈钢参照</w:t>
            </w:r>
          </w:p>
        </w:tc>
      </w:tr>
      <w:tr w:rsidR="00EE24C8" w14:paraId="11CECA32"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12BF3111"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4BCA1BDD"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太阳能</w:t>
            </w:r>
          </w:p>
        </w:tc>
        <w:tc>
          <w:tcPr>
            <w:tcW w:w="1880" w:type="dxa"/>
            <w:tcBorders>
              <w:top w:val="nil"/>
              <w:left w:val="nil"/>
              <w:bottom w:val="single" w:sz="4" w:space="0" w:color="auto"/>
              <w:right w:val="single" w:sz="4" w:space="0" w:color="auto"/>
            </w:tcBorders>
            <w:noWrap/>
            <w:vAlign w:val="center"/>
          </w:tcPr>
          <w:p w14:paraId="239BD117"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台</w:t>
            </w:r>
          </w:p>
        </w:tc>
        <w:tc>
          <w:tcPr>
            <w:tcW w:w="1633" w:type="dxa"/>
            <w:tcBorders>
              <w:top w:val="nil"/>
              <w:left w:val="nil"/>
              <w:bottom w:val="single" w:sz="4" w:space="0" w:color="auto"/>
              <w:right w:val="single" w:sz="4" w:space="0" w:color="auto"/>
            </w:tcBorders>
            <w:noWrap/>
            <w:vAlign w:val="center"/>
          </w:tcPr>
          <w:p w14:paraId="2BB13719"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3000</w:t>
            </w:r>
          </w:p>
        </w:tc>
        <w:tc>
          <w:tcPr>
            <w:tcW w:w="6732" w:type="dxa"/>
            <w:tcBorders>
              <w:top w:val="nil"/>
              <w:left w:val="nil"/>
              <w:bottom w:val="single" w:sz="4" w:space="0" w:color="auto"/>
              <w:right w:val="single" w:sz="4" w:space="0" w:color="auto"/>
            </w:tcBorders>
            <w:noWrap/>
            <w:vAlign w:val="center"/>
          </w:tcPr>
          <w:p w14:paraId="489B8875"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 xml:space="preserve">　</w:t>
            </w:r>
          </w:p>
        </w:tc>
      </w:tr>
      <w:tr w:rsidR="00EE24C8" w14:paraId="36FACA88"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452FA3E6"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4FAF9030"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空气能</w:t>
            </w:r>
          </w:p>
        </w:tc>
        <w:tc>
          <w:tcPr>
            <w:tcW w:w="1880" w:type="dxa"/>
            <w:tcBorders>
              <w:top w:val="nil"/>
              <w:left w:val="nil"/>
              <w:bottom w:val="single" w:sz="4" w:space="0" w:color="auto"/>
              <w:right w:val="single" w:sz="4" w:space="0" w:color="auto"/>
            </w:tcBorders>
            <w:noWrap/>
            <w:vAlign w:val="center"/>
          </w:tcPr>
          <w:p w14:paraId="1D3B4EEA"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台</w:t>
            </w:r>
          </w:p>
        </w:tc>
        <w:tc>
          <w:tcPr>
            <w:tcW w:w="1633" w:type="dxa"/>
            <w:tcBorders>
              <w:top w:val="nil"/>
              <w:left w:val="nil"/>
              <w:bottom w:val="single" w:sz="4" w:space="0" w:color="auto"/>
              <w:right w:val="single" w:sz="4" w:space="0" w:color="auto"/>
            </w:tcBorders>
            <w:noWrap/>
            <w:vAlign w:val="center"/>
          </w:tcPr>
          <w:p w14:paraId="074F39CF"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3000</w:t>
            </w:r>
          </w:p>
        </w:tc>
        <w:tc>
          <w:tcPr>
            <w:tcW w:w="6732" w:type="dxa"/>
            <w:tcBorders>
              <w:top w:val="nil"/>
              <w:left w:val="nil"/>
              <w:bottom w:val="single" w:sz="4" w:space="0" w:color="auto"/>
              <w:right w:val="single" w:sz="4" w:space="0" w:color="auto"/>
            </w:tcBorders>
            <w:noWrap/>
            <w:vAlign w:val="center"/>
          </w:tcPr>
          <w:p w14:paraId="056962AA"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指迁移费用</w:t>
            </w:r>
          </w:p>
        </w:tc>
      </w:tr>
      <w:tr w:rsidR="00EE24C8" w14:paraId="45F123C6"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4E3894C7"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6BB07A2C"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路灯</w:t>
            </w:r>
          </w:p>
        </w:tc>
        <w:tc>
          <w:tcPr>
            <w:tcW w:w="1880" w:type="dxa"/>
            <w:tcBorders>
              <w:top w:val="nil"/>
              <w:left w:val="nil"/>
              <w:bottom w:val="single" w:sz="4" w:space="0" w:color="auto"/>
              <w:right w:val="single" w:sz="4" w:space="0" w:color="auto"/>
            </w:tcBorders>
            <w:noWrap/>
            <w:vAlign w:val="center"/>
          </w:tcPr>
          <w:p w14:paraId="6C4BC8B1"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杆</w:t>
            </w:r>
          </w:p>
        </w:tc>
        <w:tc>
          <w:tcPr>
            <w:tcW w:w="1633" w:type="dxa"/>
            <w:tcBorders>
              <w:top w:val="nil"/>
              <w:left w:val="nil"/>
              <w:bottom w:val="single" w:sz="4" w:space="0" w:color="auto"/>
              <w:right w:val="single" w:sz="4" w:space="0" w:color="auto"/>
            </w:tcBorders>
            <w:noWrap/>
            <w:vAlign w:val="center"/>
          </w:tcPr>
          <w:p w14:paraId="325F1EEB"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w:t>
            </w:r>
          </w:p>
        </w:tc>
        <w:tc>
          <w:tcPr>
            <w:tcW w:w="6732" w:type="dxa"/>
            <w:tcBorders>
              <w:top w:val="nil"/>
              <w:left w:val="nil"/>
              <w:bottom w:val="single" w:sz="4" w:space="0" w:color="auto"/>
              <w:right w:val="single" w:sz="4" w:space="0" w:color="auto"/>
            </w:tcBorders>
            <w:noWrap/>
            <w:vAlign w:val="center"/>
          </w:tcPr>
          <w:p w14:paraId="0631F784"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指庭院或露台照明的带有灯杆的等</w:t>
            </w:r>
          </w:p>
        </w:tc>
      </w:tr>
      <w:tr w:rsidR="00EE24C8" w14:paraId="34979245"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4EF62BD6"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54FC8077"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空调移机</w:t>
            </w:r>
          </w:p>
        </w:tc>
        <w:tc>
          <w:tcPr>
            <w:tcW w:w="1880" w:type="dxa"/>
            <w:tcBorders>
              <w:top w:val="nil"/>
              <w:left w:val="nil"/>
              <w:bottom w:val="single" w:sz="4" w:space="0" w:color="auto"/>
              <w:right w:val="single" w:sz="4" w:space="0" w:color="auto"/>
            </w:tcBorders>
            <w:noWrap/>
            <w:vAlign w:val="center"/>
          </w:tcPr>
          <w:p w14:paraId="75D93942"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台</w:t>
            </w:r>
          </w:p>
        </w:tc>
        <w:tc>
          <w:tcPr>
            <w:tcW w:w="1633" w:type="dxa"/>
            <w:tcBorders>
              <w:top w:val="nil"/>
              <w:left w:val="nil"/>
              <w:bottom w:val="single" w:sz="4" w:space="0" w:color="auto"/>
              <w:right w:val="single" w:sz="4" w:space="0" w:color="auto"/>
            </w:tcBorders>
            <w:noWrap/>
            <w:vAlign w:val="center"/>
          </w:tcPr>
          <w:p w14:paraId="297685A0"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250</w:t>
            </w:r>
          </w:p>
        </w:tc>
        <w:tc>
          <w:tcPr>
            <w:tcW w:w="6732" w:type="dxa"/>
            <w:tcBorders>
              <w:top w:val="nil"/>
              <w:left w:val="nil"/>
              <w:bottom w:val="single" w:sz="4" w:space="0" w:color="auto"/>
              <w:right w:val="single" w:sz="4" w:space="0" w:color="auto"/>
            </w:tcBorders>
            <w:noWrap/>
            <w:vAlign w:val="center"/>
          </w:tcPr>
          <w:p w14:paraId="42F10D49"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 xml:space="preserve">　</w:t>
            </w:r>
          </w:p>
        </w:tc>
      </w:tr>
      <w:tr w:rsidR="00EE24C8" w14:paraId="28B97344"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35D3385C"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0325EC5B"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视频监控迁移费</w:t>
            </w:r>
          </w:p>
        </w:tc>
        <w:tc>
          <w:tcPr>
            <w:tcW w:w="1880" w:type="dxa"/>
            <w:tcBorders>
              <w:top w:val="nil"/>
              <w:left w:val="nil"/>
              <w:bottom w:val="single" w:sz="4" w:space="0" w:color="auto"/>
              <w:right w:val="single" w:sz="4" w:space="0" w:color="auto"/>
            </w:tcBorders>
            <w:noWrap/>
            <w:vAlign w:val="center"/>
          </w:tcPr>
          <w:p w14:paraId="60E904BF"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个</w:t>
            </w:r>
          </w:p>
        </w:tc>
        <w:tc>
          <w:tcPr>
            <w:tcW w:w="1633" w:type="dxa"/>
            <w:tcBorders>
              <w:top w:val="nil"/>
              <w:left w:val="nil"/>
              <w:bottom w:val="single" w:sz="4" w:space="0" w:color="auto"/>
              <w:right w:val="single" w:sz="4" w:space="0" w:color="auto"/>
            </w:tcBorders>
            <w:noWrap/>
            <w:vAlign w:val="center"/>
          </w:tcPr>
          <w:p w14:paraId="6667FB3D"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300</w:t>
            </w:r>
          </w:p>
        </w:tc>
        <w:tc>
          <w:tcPr>
            <w:tcW w:w="6732" w:type="dxa"/>
            <w:tcBorders>
              <w:top w:val="nil"/>
              <w:left w:val="nil"/>
              <w:bottom w:val="single" w:sz="4" w:space="0" w:color="auto"/>
              <w:right w:val="single" w:sz="4" w:space="0" w:color="auto"/>
            </w:tcBorders>
            <w:noWrap/>
            <w:vAlign w:val="center"/>
          </w:tcPr>
          <w:p w14:paraId="3E1E3A90"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按监控探头数量计算</w:t>
            </w:r>
          </w:p>
        </w:tc>
      </w:tr>
      <w:tr w:rsidR="00EE24C8" w14:paraId="57AE71B0" w14:textId="77777777">
        <w:trPr>
          <w:trHeight w:val="23"/>
          <w:jc w:val="center"/>
        </w:trPr>
        <w:tc>
          <w:tcPr>
            <w:tcW w:w="1483" w:type="dxa"/>
            <w:vMerge/>
            <w:tcBorders>
              <w:top w:val="nil"/>
              <w:left w:val="single" w:sz="4" w:space="0" w:color="auto"/>
              <w:bottom w:val="single" w:sz="4" w:space="0" w:color="auto"/>
              <w:right w:val="single" w:sz="4" w:space="0" w:color="auto"/>
            </w:tcBorders>
            <w:vAlign w:val="center"/>
          </w:tcPr>
          <w:p w14:paraId="6D87C015" w14:textId="77777777" w:rsidR="00EE24C8" w:rsidRDefault="00EE24C8">
            <w:pPr>
              <w:widowControl/>
              <w:spacing w:line="480" w:lineRule="exact"/>
              <w:jc w:val="left"/>
              <w:rPr>
                <w:rFonts w:ascii="Times New Roman" w:eastAsia="方正仿宋简体" w:hAnsi="Times New Roman"/>
                <w:color w:val="000000"/>
                <w:kern w:val="0"/>
                <w:sz w:val="28"/>
                <w:szCs w:val="28"/>
              </w:rPr>
            </w:pPr>
          </w:p>
        </w:tc>
        <w:tc>
          <w:tcPr>
            <w:tcW w:w="2480" w:type="dxa"/>
            <w:tcBorders>
              <w:top w:val="nil"/>
              <w:left w:val="nil"/>
              <w:bottom w:val="single" w:sz="4" w:space="0" w:color="auto"/>
              <w:right w:val="single" w:sz="4" w:space="0" w:color="auto"/>
            </w:tcBorders>
            <w:noWrap/>
            <w:vAlign w:val="center"/>
          </w:tcPr>
          <w:p w14:paraId="0BE0D14E"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天然气开户</w:t>
            </w:r>
          </w:p>
        </w:tc>
        <w:tc>
          <w:tcPr>
            <w:tcW w:w="1880" w:type="dxa"/>
            <w:tcBorders>
              <w:top w:val="nil"/>
              <w:left w:val="nil"/>
              <w:bottom w:val="single" w:sz="4" w:space="0" w:color="auto"/>
              <w:right w:val="single" w:sz="4" w:space="0" w:color="auto"/>
            </w:tcBorders>
            <w:noWrap/>
            <w:vAlign w:val="center"/>
          </w:tcPr>
          <w:p w14:paraId="4ACA5190"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户</w:t>
            </w:r>
          </w:p>
        </w:tc>
        <w:tc>
          <w:tcPr>
            <w:tcW w:w="1633" w:type="dxa"/>
            <w:tcBorders>
              <w:top w:val="nil"/>
              <w:left w:val="nil"/>
              <w:bottom w:val="single" w:sz="4" w:space="0" w:color="auto"/>
              <w:right w:val="single" w:sz="4" w:space="0" w:color="auto"/>
            </w:tcBorders>
            <w:noWrap/>
            <w:vAlign w:val="center"/>
          </w:tcPr>
          <w:p w14:paraId="4EA7CBF1" w14:textId="77777777" w:rsidR="00EE24C8" w:rsidRDefault="00000000">
            <w:pPr>
              <w:widowControl/>
              <w:spacing w:line="480" w:lineRule="exact"/>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 xml:space="preserve">　</w:t>
            </w:r>
          </w:p>
        </w:tc>
        <w:tc>
          <w:tcPr>
            <w:tcW w:w="6732" w:type="dxa"/>
            <w:tcBorders>
              <w:top w:val="nil"/>
              <w:left w:val="nil"/>
              <w:bottom w:val="single" w:sz="4" w:space="0" w:color="auto"/>
              <w:right w:val="single" w:sz="4" w:space="0" w:color="auto"/>
            </w:tcBorders>
            <w:noWrap/>
            <w:vAlign w:val="center"/>
          </w:tcPr>
          <w:p w14:paraId="1647B319" w14:textId="77777777" w:rsidR="00EE24C8" w:rsidRDefault="00000000">
            <w:pPr>
              <w:widowControl/>
              <w:spacing w:line="480" w:lineRule="exact"/>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以天然气公司开户相应的发票或证明材料进行补偿</w:t>
            </w:r>
          </w:p>
        </w:tc>
      </w:tr>
    </w:tbl>
    <w:p w14:paraId="5A4C6233" w14:textId="77777777" w:rsidR="00EE24C8" w:rsidRDefault="00EE24C8">
      <w:pPr>
        <w:tabs>
          <w:tab w:val="center" w:pos="4252"/>
          <w:tab w:val="right" w:pos="8504"/>
        </w:tabs>
        <w:overflowPunct w:val="0"/>
        <w:adjustRightInd w:val="0"/>
        <w:snapToGrid w:val="0"/>
        <w:spacing w:line="590" w:lineRule="exact"/>
        <w:ind w:firstLine="643"/>
        <w:textAlignment w:val="baseline"/>
        <w:rPr>
          <w:rFonts w:ascii="Times New Roman" w:hAnsi="Times New Roman"/>
        </w:rPr>
        <w:sectPr w:rsidR="00EE24C8">
          <w:footerReference w:type="default" r:id="rId10"/>
          <w:pgSz w:w="16838" w:h="11906" w:orient="landscape"/>
          <w:pgMar w:top="1134" w:right="1474" w:bottom="1134" w:left="1587" w:header="851" w:footer="992" w:gutter="0"/>
          <w:cols w:space="425"/>
          <w:docGrid w:type="lines" w:linePitch="312"/>
        </w:sectPr>
      </w:pPr>
    </w:p>
    <w:p w14:paraId="3F6022A2" w14:textId="77777777" w:rsidR="00EE24C8" w:rsidRDefault="00EE24C8">
      <w:pPr>
        <w:pStyle w:val="a0"/>
        <w:rPr>
          <w:rFonts w:ascii="Times New Roman" w:hAnsi="Times New Roman"/>
        </w:rPr>
      </w:pPr>
    </w:p>
    <w:p w14:paraId="661D6E1A" w14:textId="77777777" w:rsidR="00EE24C8" w:rsidRDefault="00EE24C8">
      <w:pPr>
        <w:overflowPunct w:val="0"/>
        <w:spacing w:line="590" w:lineRule="exact"/>
        <w:rPr>
          <w:rFonts w:ascii="Times New Roman" w:eastAsia="黑体" w:hAnsi="Times New Roman"/>
          <w:spacing w:val="-6"/>
          <w:sz w:val="32"/>
          <w:szCs w:val="32"/>
        </w:rPr>
      </w:pPr>
    </w:p>
    <w:p w14:paraId="1E6946FF" w14:textId="77777777" w:rsidR="00EE24C8" w:rsidRDefault="00EE24C8">
      <w:pPr>
        <w:tabs>
          <w:tab w:val="center" w:pos="4252"/>
          <w:tab w:val="right" w:pos="8504"/>
        </w:tabs>
        <w:adjustRightInd w:val="0"/>
        <w:snapToGrid w:val="0"/>
        <w:spacing w:line="590" w:lineRule="exact"/>
        <w:ind w:firstLine="643"/>
        <w:textAlignment w:val="baseline"/>
        <w:rPr>
          <w:rFonts w:ascii="Times New Roman" w:hAnsi="Times New Roman"/>
          <w:color w:val="000000" w:themeColor="text1"/>
        </w:rPr>
      </w:pPr>
    </w:p>
    <w:sectPr w:rsidR="00EE24C8">
      <w:pgSz w:w="11906" w:h="16838"/>
      <w:pgMar w:top="1928"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7F35" w14:textId="77777777" w:rsidR="00C829B4" w:rsidRDefault="00C829B4">
      <w:r>
        <w:separator/>
      </w:r>
    </w:p>
  </w:endnote>
  <w:endnote w:type="continuationSeparator" w:id="0">
    <w:p w14:paraId="13FAD538" w14:textId="77777777" w:rsidR="00C829B4" w:rsidRDefault="00C8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116274C-1F8E-4C1F-8ABB-FF064EF5187D}"/>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embedBold r:id="rId2" w:subsetted="1" w:fontKey="{37431DB3-64BC-499B-96D8-B32AA60A81EF}"/>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F039" w14:textId="77777777" w:rsidR="00EE24C8" w:rsidRDefault="00000000">
    <w:pPr>
      <w:pStyle w:val="a5"/>
    </w:pPr>
    <w:r>
      <w:rPr>
        <w:noProof/>
      </w:rPr>
      <mc:AlternateContent>
        <mc:Choice Requires="wps">
          <w:drawing>
            <wp:anchor distT="0" distB="0" distL="114300" distR="114300" simplePos="0" relativeHeight="251659264" behindDoc="0" locked="0" layoutInCell="1" allowOverlap="1" wp14:anchorId="06FA16C2" wp14:editId="4347B438">
              <wp:simplePos x="0" y="0"/>
              <wp:positionH relativeFrom="margin">
                <wp:align>outside</wp:align>
              </wp:positionH>
              <wp:positionV relativeFrom="paragraph">
                <wp:posOffset>38100</wp:posOffset>
              </wp:positionV>
              <wp:extent cx="10604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60450" cy="1828800"/>
                      </a:xfrm>
                      <a:prstGeom prst="rect">
                        <a:avLst/>
                      </a:prstGeom>
                      <a:noFill/>
                      <a:ln>
                        <a:noFill/>
                      </a:ln>
                    </wps:spPr>
                    <wps:txbx>
                      <w:txbxContent>
                        <w:p w14:paraId="1AA8AB9F" w14:textId="77777777" w:rsidR="00EE24C8" w:rsidRDefault="00000000">
                          <w:pPr>
                            <w:pStyle w:val="a5"/>
                            <w:jc w:val="cente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square" lIns="0" tIns="0" rIns="0" bIns="0">
                      <a:spAutoFit/>
                    </wps:bodyPr>
                  </wps:wsp>
                </a:graphicData>
              </a:graphic>
            </wp:anchor>
          </w:drawing>
        </mc:Choice>
        <mc:Fallback>
          <w:pict>
            <v:shapetype w14:anchorId="06FA16C2" id="_x0000_t202" coordsize="21600,21600" o:spt="202" path="m,l,21600r21600,l21600,xe">
              <v:stroke joinstyle="miter"/>
              <v:path gradientshapeok="t" o:connecttype="rect"/>
            </v:shapetype>
            <v:shape id="文本框 5" o:spid="_x0000_s1026" type="#_x0000_t202" style="position:absolute;margin-left:32.3pt;margin-top:3pt;width:83.5pt;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" filled="f" stroked="f">
              <v:textbox style="mso-fit-shape-to-text:t" inset="0,0,0,0">
                <w:txbxContent>
                  <w:p w14:paraId="1AA8AB9F" w14:textId="77777777" w:rsidR="00EE24C8" w:rsidRDefault="00000000">
                    <w:pPr>
                      <w:pStyle w:val="a5"/>
                      <w:jc w:val="cente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1530" w14:textId="77777777" w:rsidR="00EE24C8" w:rsidRDefault="00000000">
    <w:pPr>
      <w:pStyle w:val="a5"/>
      <w:ind w:firstLineChars="150" w:firstLine="420"/>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3B09" w14:textId="77777777" w:rsidR="00EE24C8" w:rsidRDefault="00000000">
    <w:pPr>
      <w:pStyle w:val="a5"/>
      <w:wordWrap w:val="0"/>
      <w:ind w:right="420"/>
      <w:rPr>
        <w:rFonts w:ascii="宋体" w:hAnsi="宋体" w:hint="eastAsia"/>
        <w:sz w:val="28"/>
        <w:szCs w:val="28"/>
      </w:rPr>
    </w:pPr>
    <w:r>
      <w:rPr>
        <w:noProof/>
        <w:sz w:val="28"/>
      </w:rPr>
      <mc:AlternateContent>
        <mc:Choice Requires="wps">
          <w:drawing>
            <wp:anchor distT="0" distB="0" distL="114300" distR="114300" simplePos="0" relativeHeight="251660288" behindDoc="0" locked="0" layoutInCell="1" allowOverlap="1" wp14:anchorId="30D99479" wp14:editId="2621AE6A">
              <wp:simplePos x="0" y="0"/>
              <wp:positionH relativeFrom="margin">
                <wp:align>outside</wp:align>
              </wp:positionH>
              <wp:positionV relativeFrom="paragraph">
                <wp:posOffset>38100</wp:posOffset>
              </wp:positionV>
              <wp:extent cx="10445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44575" cy="1828800"/>
                      </a:xfrm>
                      <a:prstGeom prst="rect">
                        <a:avLst/>
                      </a:prstGeom>
                      <a:noFill/>
                      <a:ln>
                        <a:noFill/>
                      </a:ln>
                    </wps:spPr>
                    <wps:txbx>
                      <w:txbxContent>
                        <w:p w14:paraId="6DB61C75" w14:textId="77777777" w:rsidR="00EE24C8" w:rsidRDefault="00000000">
                          <w:pPr>
                            <w:pStyle w:val="a5"/>
                            <w:jc w:val="cente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square" lIns="0" tIns="0" rIns="0" bIns="0">
                      <a:spAutoFit/>
                    </wps:bodyPr>
                  </wps:wsp>
                </a:graphicData>
              </a:graphic>
            </wp:anchor>
          </w:drawing>
        </mc:Choice>
        <mc:Fallback>
          <w:pict>
            <v:shapetype w14:anchorId="30D99479" id="_x0000_t202" coordsize="21600,21600" o:spt="202" path="m,l,21600r21600,l21600,xe">
              <v:stroke joinstyle="miter"/>
              <v:path gradientshapeok="t" o:connecttype="rect"/>
            </v:shapetype>
            <v:shape id="文本框 4" o:spid="_x0000_s1027" type="#_x0000_t202" style="position:absolute;margin-left:31.05pt;margin-top:3pt;width:82.25pt;height:2in;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" filled="f" stroked="f">
              <v:textbox style="mso-fit-shape-to-text:t" inset="0,0,0,0">
                <w:txbxContent>
                  <w:p w14:paraId="6DB61C75" w14:textId="77777777" w:rsidR="00EE24C8" w:rsidRDefault="00000000">
                    <w:pPr>
                      <w:pStyle w:val="a5"/>
                      <w:jc w:val="cente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E1FC" w14:textId="77777777" w:rsidR="00EE24C8" w:rsidRDefault="00000000">
    <w:pPr>
      <w:pStyle w:val="a5"/>
    </w:pPr>
    <w:r>
      <w:rPr>
        <w:noProof/>
      </w:rPr>
      <mc:AlternateContent>
        <mc:Choice Requires="wps">
          <w:drawing>
            <wp:anchor distT="0" distB="0" distL="114300" distR="114300" simplePos="0" relativeHeight="251661312" behindDoc="0" locked="0" layoutInCell="1" allowOverlap="1" wp14:anchorId="752CE4C8" wp14:editId="5651C969">
              <wp:simplePos x="0" y="0"/>
              <wp:positionH relativeFrom="margin">
                <wp:align>outside</wp:align>
              </wp:positionH>
              <wp:positionV relativeFrom="paragraph">
                <wp:posOffset>38100</wp:posOffset>
              </wp:positionV>
              <wp:extent cx="128841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884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0FE7F" w14:textId="77777777" w:rsidR="00EE24C8" w:rsidRDefault="00000000">
                          <w:pPr>
                            <w:pStyle w:val="a5"/>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52CE4C8" id="_x0000_t202" coordsize="21600,21600" o:spt="202" path="m,l,21600r21600,l21600,xe">
              <v:stroke joinstyle="miter"/>
              <v:path gradientshapeok="t" o:connecttype="rect"/>
            </v:shapetype>
            <v:shape id="文本框 3" o:spid="_x0000_s1028" type="#_x0000_t202" style="position:absolute;margin-left:50.25pt;margin-top:3pt;width:101.45pt;height:2in;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" filled="f" stroked="f" strokeweight=".5pt">
              <v:textbox style="mso-fit-shape-to-text:t" inset="0,0,0,0">
                <w:txbxContent>
                  <w:p w14:paraId="7750FE7F" w14:textId="77777777" w:rsidR="00EE24C8" w:rsidRDefault="00000000">
                    <w:pPr>
                      <w:pStyle w:val="a5"/>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E1BB" w14:textId="77777777" w:rsidR="00C829B4" w:rsidRDefault="00C829B4">
      <w:r>
        <w:separator/>
      </w:r>
    </w:p>
  </w:footnote>
  <w:footnote w:type="continuationSeparator" w:id="0">
    <w:p w14:paraId="76B1B98D" w14:textId="77777777" w:rsidR="00C829B4" w:rsidRDefault="00C82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U5MjNmMGY4YzgzMjAzODBhMjZjZmE4NDg3N2JjMmMifQ=="/>
  </w:docVars>
  <w:rsids>
    <w:rsidRoot w:val="11CC1EC0"/>
    <w:rsid w:val="B5B50326"/>
    <w:rsid w:val="B7ED519A"/>
    <w:rsid w:val="BF6797AF"/>
    <w:rsid w:val="BFE74027"/>
    <w:rsid w:val="D2C513F1"/>
    <w:rsid w:val="E3BDC7AE"/>
    <w:rsid w:val="E3E77FD1"/>
    <w:rsid w:val="E6BBA4ED"/>
    <w:rsid w:val="F79D216B"/>
    <w:rsid w:val="FDE387B3"/>
    <w:rsid w:val="FF7E614A"/>
    <w:rsid w:val="FFC77F78"/>
    <w:rsid w:val="FFFA5AD6"/>
    <w:rsid w:val="FFFA8BC7"/>
    <w:rsid w:val="FFFDE300"/>
    <w:rsid w:val="00550687"/>
    <w:rsid w:val="005C7199"/>
    <w:rsid w:val="006C7873"/>
    <w:rsid w:val="006E3FFC"/>
    <w:rsid w:val="00736225"/>
    <w:rsid w:val="00843F63"/>
    <w:rsid w:val="008D50AB"/>
    <w:rsid w:val="00902E79"/>
    <w:rsid w:val="00BA626D"/>
    <w:rsid w:val="00C460DA"/>
    <w:rsid w:val="00C829B4"/>
    <w:rsid w:val="00E848A0"/>
    <w:rsid w:val="00EB1317"/>
    <w:rsid w:val="00EE24C8"/>
    <w:rsid w:val="01177BBB"/>
    <w:rsid w:val="03F42F48"/>
    <w:rsid w:val="09D92F4C"/>
    <w:rsid w:val="0D7471EA"/>
    <w:rsid w:val="113B798D"/>
    <w:rsid w:val="11CC1EC0"/>
    <w:rsid w:val="17B77339"/>
    <w:rsid w:val="17D17958"/>
    <w:rsid w:val="18100480"/>
    <w:rsid w:val="1952160A"/>
    <w:rsid w:val="1B59213E"/>
    <w:rsid w:val="1FDFCDF0"/>
    <w:rsid w:val="20FD6CD3"/>
    <w:rsid w:val="211D729E"/>
    <w:rsid w:val="21CE6057"/>
    <w:rsid w:val="22DC0FED"/>
    <w:rsid w:val="23F963BF"/>
    <w:rsid w:val="249A7B0D"/>
    <w:rsid w:val="26612036"/>
    <w:rsid w:val="285E6FE6"/>
    <w:rsid w:val="2AFF9303"/>
    <w:rsid w:val="2BBFBC66"/>
    <w:rsid w:val="2DD941C0"/>
    <w:rsid w:val="318A317E"/>
    <w:rsid w:val="32DC3945"/>
    <w:rsid w:val="34AE3C7B"/>
    <w:rsid w:val="3AEDEC5E"/>
    <w:rsid w:val="3C627DAD"/>
    <w:rsid w:val="3CB24C2E"/>
    <w:rsid w:val="3CE3785D"/>
    <w:rsid w:val="3CF77A5B"/>
    <w:rsid w:val="3DAAD8B7"/>
    <w:rsid w:val="438306FA"/>
    <w:rsid w:val="47FE17F4"/>
    <w:rsid w:val="4A137078"/>
    <w:rsid w:val="4E66332D"/>
    <w:rsid w:val="4F3F332E"/>
    <w:rsid w:val="5086138A"/>
    <w:rsid w:val="546A2373"/>
    <w:rsid w:val="557B58EC"/>
    <w:rsid w:val="57693888"/>
    <w:rsid w:val="5B6A7C4C"/>
    <w:rsid w:val="5ECA3332"/>
    <w:rsid w:val="620F24E4"/>
    <w:rsid w:val="637F14CA"/>
    <w:rsid w:val="6901601C"/>
    <w:rsid w:val="69DF498D"/>
    <w:rsid w:val="6E253ABC"/>
    <w:rsid w:val="6F1C23DC"/>
    <w:rsid w:val="6FED871D"/>
    <w:rsid w:val="6FF8C9D2"/>
    <w:rsid w:val="76564773"/>
    <w:rsid w:val="76CC2755"/>
    <w:rsid w:val="77967EC6"/>
    <w:rsid w:val="786592E0"/>
    <w:rsid w:val="796B376D"/>
    <w:rsid w:val="7AFF705B"/>
    <w:rsid w:val="7BE054DB"/>
    <w:rsid w:val="7BF82F62"/>
    <w:rsid w:val="7BFBC5FD"/>
    <w:rsid w:val="7CB70CCF"/>
    <w:rsid w:val="7DAB03E4"/>
    <w:rsid w:val="7E571BCC"/>
    <w:rsid w:val="7E74402E"/>
    <w:rsid w:val="7F7F2FD4"/>
    <w:rsid w:val="7FBE4483"/>
    <w:rsid w:val="7FD9EFF2"/>
    <w:rsid w:val="7FFF4C2F"/>
    <w:rsid w:val="9FBFCB4E"/>
    <w:rsid w:val="A737E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B6CBA"/>
  <w15:docId w15:val="{2BDCA955-1E90-492C-A0FF-FD089259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semiHidden/>
    <w:qFormat/>
    <w:rPr>
      <w:kern w:val="0"/>
      <w:sz w:val="2"/>
      <w:szCs w:val="20"/>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character" w:customStyle="1" w:styleId="NormalCharacter">
    <w:name w:val="NormalCharac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11204">
      <w:bodyDiv w:val="1"/>
      <w:marLeft w:val="0"/>
      <w:marRight w:val="0"/>
      <w:marTop w:val="0"/>
      <w:marBottom w:val="0"/>
      <w:divBdr>
        <w:top w:val="none" w:sz="0" w:space="0" w:color="auto"/>
        <w:left w:val="none" w:sz="0" w:space="0" w:color="auto"/>
        <w:bottom w:val="none" w:sz="0" w:space="0" w:color="auto"/>
        <w:right w:val="none" w:sz="0" w:space="0" w:color="auto"/>
      </w:divBdr>
    </w:div>
    <w:div w:id="598177280">
      <w:bodyDiv w:val="1"/>
      <w:marLeft w:val="0"/>
      <w:marRight w:val="0"/>
      <w:marTop w:val="0"/>
      <w:marBottom w:val="0"/>
      <w:divBdr>
        <w:top w:val="none" w:sz="0" w:space="0" w:color="auto"/>
        <w:left w:val="none" w:sz="0" w:space="0" w:color="auto"/>
        <w:bottom w:val="none" w:sz="0" w:space="0" w:color="auto"/>
        <w:right w:val="none" w:sz="0" w:space="0" w:color="auto"/>
      </w:divBdr>
    </w:div>
    <w:div w:id="692803340">
      <w:bodyDiv w:val="1"/>
      <w:marLeft w:val="0"/>
      <w:marRight w:val="0"/>
      <w:marTop w:val="0"/>
      <w:marBottom w:val="0"/>
      <w:divBdr>
        <w:top w:val="none" w:sz="0" w:space="0" w:color="auto"/>
        <w:left w:val="none" w:sz="0" w:space="0" w:color="auto"/>
        <w:bottom w:val="none" w:sz="0" w:space="0" w:color="auto"/>
        <w:right w:val="none" w:sz="0" w:space="0" w:color="auto"/>
      </w:divBdr>
    </w:div>
    <w:div w:id="965428250">
      <w:bodyDiv w:val="1"/>
      <w:marLeft w:val="0"/>
      <w:marRight w:val="0"/>
      <w:marTop w:val="0"/>
      <w:marBottom w:val="0"/>
      <w:divBdr>
        <w:top w:val="none" w:sz="0" w:space="0" w:color="auto"/>
        <w:left w:val="none" w:sz="0" w:space="0" w:color="auto"/>
        <w:bottom w:val="none" w:sz="0" w:space="0" w:color="auto"/>
        <w:right w:val="none" w:sz="0" w:space="0" w:color="auto"/>
      </w:divBdr>
    </w:div>
    <w:div w:id="1208638925">
      <w:bodyDiv w:val="1"/>
      <w:marLeft w:val="0"/>
      <w:marRight w:val="0"/>
      <w:marTop w:val="0"/>
      <w:marBottom w:val="0"/>
      <w:divBdr>
        <w:top w:val="none" w:sz="0" w:space="0" w:color="auto"/>
        <w:left w:val="none" w:sz="0" w:space="0" w:color="auto"/>
        <w:bottom w:val="none" w:sz="0" w:space="0" w:color="auto"/>
        <w:right w:val="none" w:sz="0" w:space="0" w:color="auto"/>
      </w:divBdr>
    </w:div>
    <w:div w:id="1396930794">
      <w:bodyDiv w:val="1"/>
      <w:marLeft w:val="0"/>
      <w:marRight w:val="0"/>
      <w:marTop w:val="0"/>
      <w:marBottom w:val="0"/>
      <w:divBdr>
        <w:top w:val="none" w:sz="0" w:space="0" w:color="auto"/>
        <w:left w:val="none" w:sz="0" w:space="0" w:color="auto"/>
        <w:bottom w:val="none" w:sz="0" w:space="0" w:color="auto"/>
        <w:right w:val="none" w:sz="0" w:space="0" w:color="auto"/>
      </w:divBdr>
    </w:div>
    <w:div w:id="1748529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思晶 颜</cp:lastModifiedBy>
  <cp:revision>2</cp:revision>
  <cp:lastPrinted>2024-07-19T14:55:00Z</cp:lastPrinted>
  <dcterms:created xsi:type="dcterms:W3CDTF">2024-11-26T07:17:00Z</dcterms:created>
  <dcterms:modified xsi:type="dcterms:W3CDTF">2024-11-26T07:17:00Z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5877700D51EE4D178685A29F77871582_13</vt:lpwstr>
  </property>
</Properties>
</file>