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A41AA">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color w:val="000000"/>
          <w:kern w:val="0"/>
          <w:sz w:val="30"/>
          <w:szCs w:val="28"/>
          <w:highlight w:val="none"/>
          <w:lang w:val="en-US" w:eastAsia="zh-CN" w:bidi="ar-SA"/>
        </w:rPr>
        <w:sectPr>
          <w:headerReference r:id="rId3" w:type="default"/>
          <w:footerReference r:id="rId4" w:type="default"/>
          <w:pgSz w:w="11907" w:h="16840"/>
          <w:pgMar w:top="1440" w:right="1803" w:bottom="1440" w:left="1803" w:header="851" w:footer="850" w:gutter="0"/>
          <w:pgBorders>
            <w:top w:val="none" w:sz="0" w:space="0"/>
            <w:left w:val="none" w:sz="0" w:space="0"/>
            <w:bottom w:val="none" w:sz="0" w:space="0"/>
            <w:right w:val="none" w:sz="0" w:space="0"/>
          </w:pgBorders>
          <w:pgNumType w:fmt="decimal" w:start="1"/>
          <w:cols w:space="720" w:num="1"/>
          <w:rtlGutter w:val="0"/>
          <w:docGrid w:linePitch="312" w:charSpace="0"/>
        </w:sectPr>
      </w:pPr>
      <w:r>
        <w:rPr>
          <w:rFonts w:hint="default" w:ascii="Times New Roman" w:hAnsi="Times New Roman" w:eastAsia="宋体" w:cs="Times New Roman"/>
          <w:b/>
          <w:color w:val="000000"/>
          <w:kern w:val="0"/>
          <w:sz w:val="30"/>
          <w:szCs w:val="28"/>
          <w:highlight w:val="none"/>
          <w:lang w:val="en-US" w:eastAsia="zh-CN" w:bidi="ar-SA"/>
        </w:rPr>
        <w:drawing>
          <wp:inline distT="0" distB="0" distL="114300" distR="114300">
            <wp:extent cx="5249545" cy="7327900"/>
            <wp:effectExtent l="0" t="0" r="8255" b="6350"/>
            <wp:docPr id="20" name="图片 20" descr="45fa0ad1da5d451345dcdc927dee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5fa0ad1da5d451345dcdc927dee2ee"/>
                    <pic:cNvPicPr>
                      <a:picLocks noChangeAspect="1"/>
                    </pic:cNvPicPr>
                  </pic:nvPicPr>
                  <pic:blipFill>
                    <a:blip r:embed="rId8"/>
                    <a:stretch>
                      <a:fillRect/>
                    </a:stretch>
                  </pic:blipFill>
                  <pic:spPr>
                    <a:xfrm>
                      <a:off x="0" y="0"/>
                      <a:ext cx="5249545" cy="7327900"/>
                    </a:xfrm>
                    <a:prstGeom prst="rect">
                      <a:avLst/>
                    </a:prstGeom>
                  </pic:spPr>
                </pic:pic>
              </a:graphicData>
            </a:graphic>
          </wp:inline>
        </w:drawing>
      </w:r>
      <w:r>
        <w:rPr>
          <w:rFonts w:hint="default" w:ascii="Times New Roman" w:hAnsi="Times New Roman" w:eastAsia="宋体" w:cs="Times New Roman"/>
          <w:b/>
          <w:color w:val="000000"/>
          <w:kern w:val="0"/>
          <w:sz w:val="30"/>
          <w:szCs w:val="28"/>
          <w:highlight w:val="none"/>
          <w:lang w:val="en-US" w:eastAsia="zh-CN" w:bidi="ar-SA"/>
        </w:rPr>
        <w:drawing>
          <wp:inline distT="0" distB="0" distL="114300" distR="114300">
            <wp:extent cx="5266055" cy="7837805"/>
            <wp:effectExtent l="0" t="0" r="10795" b="10795"/>
            <wp:docPr id="84" name="图片 84" descr="711b169fb2e77821a93d04709aa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711b169fb2e77821a93d04709aa0626"/>
                    <pic:cNvPicPr>
                      <a:picLocks noChangeAspect="1"/>
                    </pic:cNvPicPr>
                  </pic:nvPicPr>
                  <pic:blipFill>
                    <a:blip r:embed="rId9"/>
                    <a:stretch>
                      <a:fillRect/>
                    </a:stretch>
                  </pic:blipFill>
                  <pic:spPr>
                    <a:xfrm>
                      <a:off x="0" y="0"/>
                      <a:ext cx="5266055" cy="7837805"/>
                    </a:xfrm>
                    <a:prstGeom prst="rect">
                      <a:avLst/>
                    </a:prstGeom>
                  </pic:spPr>
                </pic:pic>
              </a:graphicData>
            </a:graphic>
          </wp:inline>
        </w:drawing>
      </w:r>
      <w:r>
        <w:rPr>
          <w:rFonts w:hint="default" w:ascii="Times New Roman" w:hAnsi="Times New Roman" w:eastAsia="宋体" w:cs="Times New Roman"/>
          <w:b/>
          <w:color w:val="000000"/>
          <w:kern w:val="0"/>
          <w:sz w:val="30"/>
          <w:szCs w:val="28"/>
          <w:highlight w:val="none"/>
          <w:lang w:val="en-US" w:eastAsia="zh-CN" w:bidi="ar-SA"/>
        </w:rPr>
        <w:drawing>
          <wp:inline distT="0" distB="0" distL="114300" distR="114300">
            <wp:extent cx="5258435" cy="7994650"/>
            <wp:effectExtent l="0" t="0" r="18415" b="6350"/>
            <wp:docPr id="85" name="图片 85" descr="6c973cb6bf7fa9df5732a3b0f129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6c973cb6bf7fa9df5732a3b0f129c18"/>
                    <pic:cNvPicPr>
                      <a:picLocks noChangeAspect="1"/>
                    </pic:cNvPicPr>
                  </pic:nvPicPr>
                  <pic:blipFill>
                    <a:blip r:embed="rId10"/>
                    <a:stretch>
                      <a:fillRect/>
                    </a:stretch>
                  </pic:blipFill>
                  <pic:spPr>
                    <a:xfrm>
                      <a:off x="0" y="0"/>
                      <a:ext cx="5258435" cy="7994650"/>
                    </a:xfrm>
                    <a:prstGeom prst="rect">
                      <a:avLst/>
                    </a:prstGeom>
                  </pic:spPr>
                </pic:pic>
              </a:graphicData>
            </a:graphic>
          </wp:inline>
        </w:drawing>
      </w:r>
      <w:r>
        <w:rPr>
          <w:rFonts w:hint="default" w:ascii="Times New Roman" w:hAnsi="Times New Roman" w:eastAsia="宋体" w:cs="Times New Roman"/>
          <w:b/>
          <w:color w:val="000000"/>
          <w:kern w:val="0"/>
          <w:sz w:val="30"/>
          <w:szCs w:val="28"/>
          <w:highlight w:val="none"/>
          <w:lang w:val="en-US" w:eastAsia="zh-CN" w:bidi="ar-SA"/>
        </w:rPr>
        <w:drawing>
          <wp:inline distT="0" distB="0" distL="114300" distR="114300">
            <wp:extent cx="5252720" cy="8012430"/>
            <wp:effectExtent l="0" t="0" r="5080" b="7620"/>
            <wp:docPr id="87" name="图片 87" descr="04a2787cf914260f080f703bba07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04a2787cf914260f080f703bba07acb"/>
                    <pic:cNvPicPr>
                      <a:picLocks noChangeAspect="1"/>
                    </pic:cNvPicPr>
                  </pic:nvPicPr>
                  <pic:blipFill>
                    <a:blip r:embed="rId11"/>
                    <a:stretch>
                      <a:fillRect/>
                    </a:stretch>
                  </pic:blipFill>
                  <pic:spPr>
                    <a:xfrm>
                      <a:off x="0" y="0"/>
                      <a:ext cx="5252720" cy="8012430"/>
                    </a:xfrm>
                    <a:prstGeom prst="rect">
                      <a:avLst/>
                    </a:prstGeom>
                  </pic:spPr>
                </pic:pic>
              </a:graphicData>
            </a:graphic>
          </wp:inline>
        </w:drawing>
      </w:r>
      <w:r>
        <w:rPr>
          <w:rFonts w:hint="default" w:ascii="Times New Roman" w:hAnsi="Times New Roman" w:eastAsia="宋体" w:cs="Times New Roman"/>
          <w:b/>
          <w:color w:val="000000"/>
          <w:kern w:val="0"/>
          <w:sz w:val="30"/>
          <w:szCs w:val="28"/>
          <w:highlight w:val="none"/>
          <w:lang w:val="en-US" w:eastAsia="zh-CN" w:bidi="ar-SA"/>
        </w:rPr>
        <w:drawing>
          <wp:inline distT="0" distB="0" distL="114300" distR="114300">
            <wp:extent cx="5263515" cy="7926070"/>
            <wp:effectExtent l="0" t="0" r="13335" b="17780"/>
            <wp:docPr id="89" name="图片 89" descr="6c2e026705b072495baaebe9983f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6c2e026705b072495baaebe9983f19d"/>
                    <pic:cNvPicPr>
                      <a:picLocks noChangeAspect="1"/>
                    </pic:cNvPicPr>
                  </pic:nvPicPr>
                  <pic:blipFill>
                    <a:blip r:embed="rId12"/>
                    <a:stretch>
                      <a:fillRect/>
                    </a:stretch>
                  </pic:blipFill>
                  <pic:spPr>
                    <a:xfrm>
                      <a:off x="0" y="0"/>
                      <a:ext cx="5263515" cy="7926070"/>
                    </a:xfrm>
                    <a:prstGeom prst="rect">
                      <a:avLst/>
                    </a:prstGeom>
                  </pic:spPr>
                </pic:pic>
              </a:graphicData>
            </a:graphic>
          </wp:inline>
        </w:drawing>
      </w:r>
      <w:r>
        <w:rPr>
          <w:rFonts w:hint="default" w:ascii="Times New Roman" w:hAnsi="Times New Roman" w:eastAsia="宋体" w:cs="Times New Roman"/>
          <w:b/>
          <w:color w:val="000000"/>
          <w:kern w:val="0"/>
          <w:sz w:val="30"/>
          <w:szCs w:val="28"/>
          <w:highlight w:val="none"/>
          <w:lang w:val="en-US" w:eastAsia="zh-CN" w:bidi="ar-SA"/>
        </w:rPr>
        <w:drawing>
          <wp:inline distT="0" distB="0" distL="114300" distR="114300">
            <wp:extent cx="5254625" cy="8004810"/>
            <wp:effectExtent l="0" t="0" r="3175" b="15240"/>
            <wp:docPr id="92" name="图片 92" descr="64cce0fe51c8981eb2fea86388e4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64cce0fe51c8981eb2fea86388e47c8"/>
                    <pic:cNvPicPr>
                      <a:picLocks noChangeAspect="1"/>
                    </pic:cNvPicPr>
                  </pic:nvPicPr>
                  <pic:blipFill>
                    <a:blip r:embed="rId13"/>
                    <a:stretch>
                      <a:fillRect/>
                    </a:stretch>
                  </pic:blipFill>
                  <pic:spPr>
                    <a:xfrm>
                      <a:off x="0" y="0"/>
                      <a:ext cx="5254625" cy="8004810"/>
                    </a:xfrm>
                    <a:prstGeom prst="rect">
                      <a:avLst/>
                    </a:prstGeom>
                  </pic:spPr>
                </pic:pic>
              </a:graphicData>
            </a:graphic>
          </wp:inline>
        </w:drawing>
      </w:r>
    </w:p>
    <w:p w14:paraId="388367CA">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color w:val="000000"/>
          <w:kern w:val="0"/>
          <w:sz w:val="30"/>
          <w:szCs w:val="28"/>
          <w:highlight w:val="none"/>
          <w:lang w:val="en-US" w:eastAsia="zh-CN" w:bidi="ar-SA"/>
        </w:rPr>
      </w:pPr>
      <w:r>
        <w:rPr>
          <w:rFonts w:hint="default" w:ascii="Times New Roman" w:hAnsi="Times New Roman" w:eastAsia="宋体" w:cs="Times New Roman"/>
          <w:b/>
          <w:color w:val="000000"/>
          <w:kern w:val="0"/>
          <w:sz w:val="30"/>
          <w:szCs w:val="28"/>
          <w:highlight w:val="none"/>
          <w:lang w:val="en-US" w:eastAsia="zh-CN" w:bidi="ar-SA"/>
        </w:rPr>
        <w:t>一、建设项目基本情况</w:t>
      </w:r>
    </w:p>
    <w:tbl>
      <w:tblPr>
        <w:tblStyle w:val="25"/>
        <w:tblW w:w="49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98"/>
        <w:gridCol w:w="1991"/>
        <w:gridCol w:w="1911"/>
        <w:gridCol w:w="2500"/>
      </w:tblGrid>
      <w:tr w14:paraId="3C90B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0EF4CC3E">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建设项目名称</w:t>
            </w:r>
          </w:p>
        </w:tc>
        <w:tc>
          <w:tcPr>
            <w:tcW w:w="3856" w:type="pct"/>
            <w:gridSpan w:val="3"/>
            <w:noWrap w:val="0"/>
            <w:vAlign w:val="center"/>
          </w:tcPr>
          <w:p w14:paraId="011CD369">
            <w:pPr>
              <w:keepNext w:val="0"/>
              <w:keepLines w:val="0"/>
              <w:pageBreakBefore w:val="0"/>
              <w:widowControl w:val="0"/>
              <w:kinsoku/>
              <w:wordWrap/>
              <w:overflowPunct/>
              <w:topLinePunct w:val="0"/>
              <w:bidi w:val="0"/>
              <w:adjustRightInd w:val="0"/>
              <w:snapToGrid w:val="0"/>
              <w:spacing w:line="240" w:lineRule="auto"/>
              <w:ind w:right="0" w:firstLine="0" w:firstLineChars="0"/>
              <w:jc w:val="center"/>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bCs w:val="0"/>
                <w:color w:val="000000"/>
                <w:kern w:val="0"/>
                <w:sz w:val="24"/>
                <w:szCs w:val="24"/>
                <w:highlight w:val="none"/>
                <w:lang w:val="en-US" w:eastAsia="zh-CN" w:bidi="ar"/>
              </w:rPr>
              <w:t>泉州</w:t>
            </w:r>
            <w:r>
              <w:rPr>
                <w:rFonts w:hint="eastAsia" w:ascii="Times New Roman" w:hAnsi="Times New Roman" w:eastAsia="宋体" w:cs="Times New Roman"/>
                <w:bCs w:val="0"/>
                <w:color w:val="000000"/>
                <w:kern w:val="0"/>
                <w:sz w:val="24"/>
                <w:szCs w:val="24"/>
                <w:highlight w:val="none"/>
                <w:lang w:val="en-US" w:eastAsia="zh-CN" w:bidi="ar"/>
              </w:rPr>
              <w:t>市隆泰服装印花</w:t>
            </w:r>
            <w:r>
              <w:rPr>
                <w:rFonts w:hint="default" w:ascii="Times New Roman" w:hAnsi="Times New Roman" w:eastAsia="宋体" w:cs="Times New Roman"/>
                <w:bCs w:val="0"/>
                <w:color w:val="000000"/>
                <w:kern w:val="0"/>
                <w:sz w:val="24"/>
                <w:szCs w:val="24"/>
                <w:highlight w:val="none"/>
                <w:lang w:val="en-US" w:eastAsia="zh-CN" w:bidi="ar"/>
              </w:rPr>
              <w:t>有限公司</w:t>
            </w:r>
            <w:r>
              <w:rPr>
                <w:rFonts w:hint="eastAsia" w:cs="Times New Roman"/>
                <w:bCs w:val="0"/>
                <w:color w:val="000000"/>
                <w:kern w:val="0"/>
                <w:sz w:val="24"/>
                <w:szCs w:val="24"/>
                <w:highlight w:val="none"/>
                <w:lang w:val="en-US" w:eastAsia="zh-CN" w:bidi="ar"/>
              </w:rPr>
              <w:t>改</w:t>
            </w:r>
            <w:r>
              <w:rPr>
                <w:rFonts w:hint="eastAsia" w:ascii="Times New Roman" w:hAnsi="Times New Roman" w:eastAsia="宋体" w:cs="Times New Roman"/>
                <w:bCs w:val="0"/>
                <w:color w:val="000000"/>
                <w:kern w:val="0"/>
                <w:sz w:val="24"/>
                <w:szCs w:val="24"/>
                <w:highlight w:val="none"/>
                <w:lang w:val="en-US" w:eastAsia="zh-CN" w:bidi="ar"/>
              </w:rPr>
              <w:t>扩建</w:t>
            </w:r>
            <w:r>
              <w:rPr>
                <w:rFonts w:hint="default" w:ascii="Times New Roman" w:hAnsi="Times New Roman" w:eastAsia="宋体" w:cs="Times New Roman"/>
                <w:bCs w:val="0"/>
                <w:color w:val="000000"/>
                <w:kern w:val="0"/>
                <w:sz w:val="24"/>
                <w:szCs w:val="24"/>
                <w:highlight w:val="none"/>
                <w:lang w:val="en-US" w:eastAsia="zh-CN" w:bidi="ar"/>
              </w:rPr>
              <w:t>项目</w:t>
            </w:r>
          </w:p>
        </w:tc>
      </w:tr>
      <w:tr w14:paraId="2BEA7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5B9AB9F4">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项目代码</w:t>
            </w:r>
          </w:p>
        </w:tc>
        <w:tc>
          <w:tcPr>
            <w:tcW w:w="3856" w:type="pct"/>
            <w:gridSpan w:val="3"/>
            <w:noWrap w:val="0"/>
            <w:vAlign w:val="center"/>
          </w:tcPr>
          <w:p w14:paraId="0EC9B5E5">
            <w:pPr>
              <w:keepNext w:val="0"/>
              <w:keepLines w:val="0"/>
              <w:pageBreakBefore w:val="0"/>
              <w:widowControl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
              </w:rPr>
              <w:t>/</w:t>
            </w:r>
          </w:p>
        </w:tc>
      </w:tr>
      <w:tr w14:paraId="152CFC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6C292727">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建设单位联系人</w:t>
            </w:r>
          </w:p>
        </w:tc>
        <w:tc>
          <w:tcPr>
            <w:tcW w:w="1991" w:type="dxa"/>
            <w:noWrap w:val="0"/>
            <w:vAlign w:val="center"/>
          </w:tcPr>
          <w:p w14:paraId="600317FA">
            <w:pPr>
              <w:keepNext w:val="0"/>
              <w:keepLines w:val="0"/>
              <w:pageBreakBefore w:val="0"/>
              <w:widowControl w:val="0"/>
              <w:kinsoku/>
              <w:wordWrap/>
              <w:overflowPunct/>
              <w:topLinePunct w:val="0"/>
              <w:bidi w:val="0"/>
              <w:adjustRightInd w:val="0"/>
              <w:snapToGrid w:val="0"/>
              <w:spacing w:line="240" w:lineRule="auto"/>
              <w:ind w:right="0" w:rightChars="0" w:firstLine="0" w:firstLineChars="0"/>
              <w:jc w:val="center"/>
              <w:rPr>
                <w:rFonts w:hint="default" w:ascii="Times New Roman" w:hAnsi="Times New Roman" w:eastAsia="宋体" w:cs="Times New Roman"/>
                <w:color w:val="000000"/>
                <w:kern w:val="0"/>
                <w:sz w:val="24"/>
                <w:szCs w:val="24"/>
                <w:highlight w:val="none"/>
                <w:lang w:val="en-US" w:eastAsia="zh-CN" w:bidi="ar-SA"/>
              </w:rPr>
            </w:pPr>
            <w:r>
              <w:rPr>
                <w:rFonts w:hint="eastAsia"/>
                <w:bCs/>
                <w:color w:val="000000"/>
                <w:kern w:val="0"/>
                <w:sz w:val="24"/>
                <w:highlight w:val="none"/>
                <w:lang w:val="en-US" w:eastAsia="zh-CN"/>
              </w:rPr>
              <w:t xml:space="preserve"> </w:t>
            </w:r>
          </w:p>
        </w:tc>
        <w:tc>
          <w:tcPr>
            <w:tcW w:w="1911" w:type="dxa"/>
            <w:noWrap w:val="0"/>
            <w:vAlign w:val="center"/>
          </w:tcPr>
          <w:p w14:paraId="79A0868E">
            <w:pPr>
              <w:keepNext w:val="0"/>
              <w:keepLines w:val="0"/>
              <w:pageBreakBefore w:val="0"/>
              <w:kinsoku/>
              <w:wordWrap/>
              <w:overflowPunct/>
              <w:topLinePunct w:val="0"/>
              <w:bidi w:val="0"/>
              <w:adjustRightInd w:val="0"/>
              <w:snapToGrid w:val="0"/>
              <w:spacing w:line="240" w:lineRule="auto"/>
              <w:ind w:right="0" w:rightChars="0" w:firstLine="0" w:firstLineChars="0"/>
              <w:jc w:val="center"/>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联系方式</w:t>
            </w:r>
          </w:p>
        </w:tc>
        <w:tc>
          <w:tcPr>
            <w:tcW w:w="2500" w:type="dxa"/>
            <w:noWrap w:val="0"/>
            <w:vAlign w:val="center"/>
          </w:tcPr>
          <w:p w14:paraId="12B3DAA4">
            <w:pPr>
              <w:keepNext w:val="0"/>
              <w:keepLines w:val="0"/>
              <w:pageBreakBefore w:val="0"/>
              <w:widowControl w:val="0"/>
              <w:kinsoku/>
              <w:wordWrap/>
              <w:overflowPunct/>
              <w:topLinePunct w:val="0"/>
              <w:bidi w:val="0"/>
              <w:adjustRightInd w:val="0"/>
              <w:snapToGrid w:val="0"/>
              <w:spacing w:line="240" w:lineRule="auto"/>
              <w:ind w:right="0" w:rightChars="0" w:firstLine="0" w:firstLineChars="0"/>
              <w:jc w:val="center"/>
              <w:rPr>
                <w:rFonts w:hint="default" w:ascii="Times New Roman" w:hAnsi="Times New Roman" w:eastAsia="宋体" w:cs="Times New Roman"/>
                <w:color w:val="000000"/>
                <w:kern w:val="0"/>
                <w:sz w:val="24"/>
                <w:szCs w:val="24"/>
                <w:highlight w:val="none"/>
                <w:lang w:val="en-US" w:eastAsia="zh-CN" w:bidi="ar-SA"/>
              </w:rPr>
            </w:pPr>
          </w:p>
        </w:tc>
      </w:tr>
      <w:tr w14:paraId="228CF1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05AA2C5D">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建设地点</w:t>
            </w:r>
          </w:p>
        </w:tc>
        <w:tc>
          <w:tcPr>
            <w:tcW w:w="3856" w:type="pct"/>
            <w:gridSpan w:val="3"/>
            <w:noWrap w:val="0"/>
            <w:vAlign w:val="center"/>
          </w:tcPr>
          <w:p w14:paraId="53DA8FA6">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 xml:space="preserve"> </w:t>
            </w:r>
            <w:r>
              <w:rPr>
                <w:rFonts w:hint="eastAsia" w:cs="Times New Roman"/>
                <w:color w:val="000000"/>
                <w:kern w:val="0"/>
                <w:sz w:val="24"/>
                <w:szCs w:val="24"/>
                <w:highlight w:val="none"/>
                <w:lang w:val="en-US" w:eastAsia="zh-CN" w:bidi="ar-SA"/>
              </w:rPr>
              <w:t>福建省泉州市鲤城区紫安路1号</w:t>
            </w:r>
          </w:p>
        </w:tc>
      </w:tr>
      <w:tr w14:paraId="30B29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7EF1F667">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地理坐标</w:t>
            </w:r>
          </w:p>
        </w:tc>
        <w:tc>
          <w:tcPr>
            <w:tcW w:w="3856" w:type="pct"/>
            <w:gridSpan w:val="3"/>
            <w:noWrap w:val="0"/>
            <w:vAlign w:val="center"/>
          </w:tcPr>
          <w:p w14:paraId="364B957A">
            <w:pPr>
              <w:ind w:firstLine="0"/>
              <w:jc w:val="center"/>
              <w:rPr>
                <w:rFonts w:hint="default"/>
                <w:sz w:val="24"/>
                <w:highlight w:val="none"/>
                <w:lang w:val="en-US" w:eastAsia="zh-CN"/>
              </w:rPr>
            </w:pPr>
            <w:r>
              <w:rPr>
                <w:rFonts w:hint="default" w:ascii="Times New Roman" w:hAnsi="Times New Roman" w:eastAsia="宋体" w:cs="Times New Roman"/>
                <w:color w:val="000000"/>
                <w:kern w:val="0"/>
                <w:sz w:val="24"/>
                <w:highlight w:val="none"/>
                <w:lang w:val="en-US" w:eastAsia="zh-CN"/>
              </w:rPr>
              <w:t>（ 118度3</w:t>
            </w:r>
            <w:r>
              <w:rPr>
                <w:rFonts w:hint="eastAsia" w:ascii="Times New Roman" w:hAnsi="Times New Roman" w:eastAsia="宋体" w:cs="Times New Roman"/>
                <w:color w:val="000000"/>
                <w:kern w:val="0"/>
                <w:sz w:val="24"/>
                <w:highlight w:val="none"/>
                <w:lang w:val="en-US" w:eastAsia="zh-CN"/>
              </w:rPr>
              <w:t>0</w:t>
            </w:r>
            <w:r>
              <w:rPr>
                <w:rFonts w:hint="default" w:ascii="Times New Roman" w:hAnsi="Times New Roman" w:eastAsia="宋体" w:cs="Times New Roman"/>
                <w:color w:val="000000"/>
                <w:kern w:val="0"/>
                <w:sz w:val="24"/>
                <w:highlight w:val="none"/>
                <w:lang w:val="en-US" w:eastAsia="zh-CN"/>
              </w:rPr>
              <w:t>分</w:t>
            </w:r>
            <w:r>
              <w:rPr>
                <w:rFonts w:hint="eastAsia" w:ascii="Times New Roman" w:hAnsi="Times New Roman" w:eastAsia="宋体" w:cs="Times New Roman"/>
                <w:color w:val="000000"/>
                <w:kern w:val="0"/>
                <w:sz w:val="24"/>
                <w:highlight w:val="none"/>
                <w:lang w:val="en-US" w:eastAsia="zh-CN"/>
              </w:rPr>
              <w:t>58.75</w:t>
            </w:r>
            <w:r>
              <w:rPr>
                <w:rFonts w:hint="default" w:ascii="Times New Roman" w:hAnsi="Times New Roman" w:eastAsia="宋体" w:cs="Times New Roman"/>
                <w:color w:val="000000"/>
                <w:kern w:val="0"/>
                <w:sz w:val="24"/>
                <w:highlight w:val="none"/>
                <w:lang w:val="en-US" w:eastAsia="zh-CN"/>
              </w:rPr>
              <w:t>秒，24度</w:t>
            </w:r>
            <w:r>
              <w:rPr>
                <w:rFonts w:hint="eastAsia" w:ascii="Times New Roman" w:hAnsi="Times New Roman" w:eastAsia="宋体" w:cs="Times New Roman"/>
                <w:color w:val="000000"/>
                <w:kern w:val="0"/>
                <w:sz w:val="24"/>
                <w:highlight w:val="none"/>
                <w:lang w:val="en-US" w:eastAsia="zh-CN"/>
              </w:rPr>
              <w:t>54</w:t>
            </w:r>
            <w:r>
              <w:rPr>
                <w:rFonts w:hint="default" w:ascii="Times New Roman" w:hAnsi="Times New Roman" w:eastAsia="宋体" w:cs="Times New Roman"/>
                <w:color w:val="000000"/>
                <w:kern w:val="0"/>
                <w:sz w:val="24"/>
                <w:highlight w:val="none"/>
                <w:lang w:val="en-US" w:eastAsia="zh-CN"/>
              </w:rPr>
              <w:t>分</w:t>
            </w:r>
            <w:r>
              <w:rPr>
                <w:rFonts w:hint="eastAsia" w:ascii="Times New Roman" w:hAnsi="Times New Roman" w:eastAsia="宋体" w:cs="Times New Roman"/>
                <w:color w:val="000000"/>
                <w:kern w:val="0"/>
                <w:sz w:val="24"/>
                <w:highlight w:val="none"/>
                <w:lang w:val="en-US" w:eastAsia="zh-CN"/>
              </w:rPr>
              <w:t>29.25</w:t>
            </w:r>
            <w:r>
              <w:rPr>
                <w:rFonts w:hint="default" w:ascii="Times New Roman" w:hAnsi="Times New Roman" w:eastAsia="宋体" w:cs="Times New Roman"/>
                <w:color w:val="000000"/>
                <w:kern w:val="0"/>
                <w:sz w:val="24"/>
                <w:highlight w:val="none"/>
                <w:lang w:val="en-US" w:eastAsia="zh-CN"/>
              </w:rPr>
              <w:t>秒）</w:t>
            </w:r>
          </w:p>
        </w:tc>
      </w:tr>
      <w:tr w14:paraId="0B4BB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71F4131B">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国民经济</w:t>
            </w:r>
          </w:p>
          <w:p w14:paraId="74BCBC09">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行业类别</w:t>
            </w:r>
          </w:p>
        </w:tc>
        <w:tc>
          <w:tcPr>
            <w:tcW w:w="1199" w:type="pct"/>
            <w:noWrap w:val="0"/>
            <w:vAlign w:val="center"/>
          </w:tcPr>
          <w:p w14:paraId="37ABC021">
            <w:pPr>
              <w:adjustRightInd w:val="0"/>
              <w:snapToGrid w:val="0"/>
              <w:jc w:val="center"/>
              <w:rPr>
                <w:rFonts w:hint="default" w:ascii="Times New Roman" w:hAnsi="Times New Roman" w:eastAsia="宋体" w:cs="Times New Roman"/>
                <w:color w:val="000000"/>
                <w:kern w:val="0"/>
                <w:sz w:val="24"/>
                <w:highlight w:val="none"/>
                <w:lang w:val="en-US"/>
              </w:rPr>
            </w:pPr>
            <w:r>
              <w:rPr>
                <w:rFonts w:hint="eastAsia" w:ascii="Times New Roman" w:hAnsi="Times New Roman" w:eastAsia="宋体" w:cs="Times New Roman"/>
                <w:color w:val="000000"/>
                <w:kern w:val="0"/>
                <w:sz w:val="24"/>
                <w:highlight w:val="none"/>
                <w:lang w:val="en-US" w:eastAsia="zh-CN"/>
              </w:rPr>
              <w:t>C2319 包装装潢及其他印刷</w:t>
            </w:r>
          </w:p>
        </w:tc>
        <w:tc>
          <w:tcPr>
            <w:tcW w:w="1151" w:type="pct"/>
            <w:noWrap w:val="0"/>
            <w:vAlign w:val="center"/>
          </w:tcPr>
          <w:p w14:paraId="42C51306">
            <w:pPr>
              <w:keepNext w:val="0"/>
              <w:keepLines w:val="0"/>
              <w:pageBreakBefore w:val="0"/>
              <w:kinsoku/>
              <w:wordWrap/>
              <w:overflowPunct/>
              <w:topLinePunct w:val="0"/>
              <w:bidi w:val="0"/>
              <w:adjustRightInd w:val="0"/>
              <w:snapToGrid w:val="0"/>
              <w:spacing w:line="240" w:lineRule="auto"/>
              <w:ind w:right="0" w:firstLine="0" w:firstLineChars="0"/>
              <w:jc w:val="center"/>
              <w:rPr>
                <w:rFonts w:hint="eastAsia" w:ascii="Times New Roman" w:hAnsi="Times New Roman" w:eastAsia="宋体" w:cs="Times New Roman"/>
                <w:color w:val="000000"/>
                <w:kern w:val="0"/>
                <w:sz w:val="24"/>
                <w:szCs w:val="24"/>
                <w:highlight w:val="none"/>
              </w:rPr>
            </w:pPr>
            <w:bookmarkStart w:id="0" w:name="_Hlk49843745"/>
            <w:r>
              <w:rPr>
                <w:rFonts w:hint="eastAsia" w:ascii="Times New Roman" w:hAnsi="Times New Roman" w:eastAsia="宋体" w:cs="Times New Roman"/>
                <w:color w:val="000000"/>
                <w:kern w:val="0"/>
                <w:sz w:val="24"/>
                <w:szCs w:val="24"/>
                <w:highlight w:val="none"/>
              </w:rPr>
              <w:t>建设项目</w:t>
            </w:r>
          </w:p>
          <w:p w14:paraId="0ADCD8AE">
            <w:pPr>
              <w:keepNext w:val="0"/>
              <w:keepLines w:val="0"/>
              <w:pageBreakBefore w:val="0"/>
              <w:kinsoku/>
              <w:wordWrap/>
              <w:overflowPunct/>
              <w:topLinePunct w:val="0"/>
              <w:bidi w:val="0"/>
              <w:adjustRightInd w:val="0"/>
              <w:snapToGrid w:val="0"/>
              <w:spacing w:line="240" w:lineRule="auto"/>
              <w:ind w:right="0" w:firstLine="0" w:firstLineChars="0"/>
              <w:jc w:val="center"/>
              <w:rPr>
                <w:rFonts w:hint="eastAsia" w:ascii="Times New Roman" w:hAnsi="Times New Roman" w:eastAsia="宋体" w:cs="Times New Roman"/>
                <w:color w:val="000000"/>
                <w:kern w:val="0"/>
                <w:sz w:val="24"/>
                <w:szCs w:val="24"/>
                <w:highlight w:val="none"/>
              </w:rPr>
            </w:pPr>
            <w:r>
              <w:rPr>
                <w:rFonts w:hint="eastAsia" w:ascii="Times New Roman" w:hAnsi="Times New Roman" w:eastAsia="宋体" w:cs="Times New Roman"/>
                <w:color w:val="000000"/>
                <w:kern w:val="0"/>
                <w:sz w:val="24"/>
                <w:szCs w:val="24"/>
                <w:highlight w:val="none"/>
              </w:rPr>
              <w:t>行业类别</w:t>
            </w:r>
            <w:bookmarkEnd w:id="0"/>
          </w:p>
        </w:tc>
        <w:tc>
          <w:tcPr>
            <w:tcW w:w="1506" w:type="pct"/>
            <w:noWrap w:val="0"/>
            <w:vAlign w:val="center"/>
          </w:tcPr>
          <w:p w14:paraId="27F30CA2">
            <w:pPr>
              <w:keepNext w:val="0"/>
              <w:keepLines w:val="0"/>
              <w:pageBreakBefore w:val="0"/>
              <w:widowControl/>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000000"/>
                <w:kern w:val="0"/>
                <w:sz w:val="24"/>
                <w:szCs w:val="24"/>
                <w:highlight w:val="none"/>
                <w:lang w:val="en-US" w:bidi="ar-SA"/>
              </w:rPr>
            </w:pPr>
            <w:r>
              <w:rPr>
                <w:rFonts w:hint="eastAsia" w:ascii="Times New Roman" w:hAnsi="Times New Roman" w:eastAsia="宋体" w:cs="Times New Roman"/>
                <w:color w:val="000000"/>
                <w:sz w:val="24"/>
                <w:szCs w:val="24"/>
                <w:highlight w:val="none"/>
                <w:lang w:val="en-US" w:eastAsia="zh-CN"/>
              </w:rPr>
              <w:t>二十、印刷和记录媒介复制业23 39印刷231*：其他（激光印刷除外；年用低VOCs含量油墨10吨以下的印刷除外）</w:t>
            </w:r>
          </w:p>
        </w:tc>
      </w:tr>
      <w:tr w14:paraId="03173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15CC371C">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建设性质</w:t>
            </w:r>
          </w:p>
        </w:tc>
        <w:tc>
          <w:tcPr>
            <w:tcW w:w="1199" w:type="pct"/>
            <w:noWrap w:val="0"/>
            <w:vAlign w:val="center"/>
          </w:tcPr>
          <w:p w14:paraId="4A8EBA96">
            <w:pPr>
              <w:keepNext w:val="0"/>
              <w:keepLines w:val="0"/>
              <w:pageBreakBefore w:val="0"/>
              <w:kinsoku/>
              <w:wordWrap/>
              <w:overflowPunct/>
              <w:topLinePunct w:val="0"/>
              <w:bidi w:val="0"/>
              <w:spacing w:line="240" w:lineRule="auto"/>
              <w:ind w:right="0" w:firstLine="0" w:firstLineChars="0"/>
              <w:jc w:val="left"/>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新建（迁建）</w:t>
            </w:r>
          </w:p>
          <w:p w14:paraId="7345DC82">
            <w:pPr>
              <w:keepNext w:val="0"/>
              <w:keepLines w:val="0"/>
              <w:pageBreakBefore w:val="0"/>
              <w:kinsoku/>
              <w:wordWrap/>
              <w:overflowPunct/>
              <w:topLinePunct w:val="0"/>
              <w:bidi w:val="0"/>
              <w:spacing w:line="240" w:lineRule="auto"/>
              <w:ind w:right="0" w:firstLine="0" w:firstLineChar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sym w:font="Wingdings 2" w:char="0052"/>
            </w:r>
            <w:r>
              <w:rPr>
                <w:rFonts w:hint="default" w:ascii="Times New Roman" w:hAnsi="Times New Roman" w:eastAsia="宋体" w:cs="Times New Roman"/>
                <w:sz w:val="24"/>
                <w:szCs w:val="24"/>
                <w:highlight w:val="none"/>
              </w:rPr>
              <w:t>改建</w:t>
            </w:r>
          </w:p>
          <w:p w14:paraId="38ED56E4">
            <w:pPr>
              <w:keepNext w:val="0"/>
              <w:keepLines w:val="0"/>
              <w:pageBreakBefore w:val="0"/>
              <w:kinsoku/>
              <w:wordWrap/>
              <w:overflowPunct/>
              <w:topLinePunct w:val="0"/>
              <w:bidi w:val="0"/>
              <w:spacing w:line="240" w:lineRule="auto"/>
              <w:ind w:right="0" w:firstLine="0" w:firstLineChar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sym w:font="Wingdings 2" w:char="0052"/>
            </w:r>
            <w:r>
              <w:rPr>
                <w:rFonts w:hint="default" w:ascii="Times New Roman" w:hAnsi="Times New Roman" w:eastAsia="宋体" w:cs="Times New Roman"/>
                <w:sz w:val="24"/>
                <w:szCs w:val="24"/>
                <w:highlight w:val="none"/>
              </w:rPr>
              <w:t>扩建</w:t>
            </w:r>
          </w:p>
          <w:p w14:paraId="04C40C86">
            <w:pPr>
              <w:keepNext w:val="0"/>
              <w:keepLines w:val="0"/>
              <w:pageBreakBefore w:val="0"/>
              <w:kinsoku/>
              <w:wordWrap/>
              <w:overflowPunct/>
              <w:topLinePunct w:val="0"/>
              <w:bidi w:val="0"/>
              <w:spacing w:line="240" w:lineRule="auto"/>
              <w:ind w:right="0" w:firstLine="0" w:firstLineChar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sym w:font="Wingdings 2" w:char="00A3"/>
            </w:r>
            <w:r>
              <w:rPr>
                <w:rFonts w:hint="default" w:ascii="Times New Roman" w:hAnsi="Times New Roman" w:eastAsia="宋体" w:cs="Times New Roman"/>
                <w:sz w:val="24"/>
                <w:szCs w:val="24"/>
                <w:highlight w:val="none"/>
              </w:rPr>
              <w:t>技术改造</w:t>
            </w:r>
          </w:p>
        </w:tc>
        <w:tc>
          <w:tcPr>
            <w:tcW w:w="1151" w:type="pct"/>
            <w:noWrap w:val="0"/>
            <w:vAlign w:val="center"/>
          </w:tcPr>
          <w:p w14:paraId="5CB052A1">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建设项目</w:t>
            </w:r>
          </w:p>
          <w:p w14:paraId="4DBFC41B">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申报情形</w:t>
            </w:r>
          </w:p>
        </w:tc>
        <w:tc>
          <w:tcPr>
            <w:tcW w:w="1506" w:type="pct"/>
            <w:noWrap w:val="0"/>
            <w:vAlign w:val="center"/>
          </w:tcPr>
          <w:p w14:paraId="0F008865">
            <w:pPr>
              <w:keepNext w:val="0"/>
              <w:keepLines w:val="0"/>
              <w:pageBreakBefore w:val="0"/>
              <w:kinsoku/>
              <w:wordWrap/>
              <w:overflowPunct/>
              <w:topLinePunct w:val="0"/>
              <w:bidi w:val="0"/>
              <w:spacing w:line="240" w:lineRule="auto"/>
              <w:ind w:right="0" w:firstLine="0" w:firstLineChar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2" w:char="0052"/>
            </w:r>
            <w:r>
              <w:rPr>
                <w:rFonts w:hint="default" w:ascii="Times New Roman" w:hAnsi="Times New Roman" w:eastAsia="宋体" w:cs="Times New Roman"/>
                <w:sz w:val="24"/>
                <w:szCs w:val="24"/>
                <w:highlight w:val="none"/>
              </w:rPr>
              <w:t xml:space="preserve">首次申报项目             </w:t>
            </w:r>
          </w:p>
          <w:p w14:paraId="1AB3BCF2">
            <w:pPr>
              <w:keepNext w:val="0"/>
              <w:keepLines w:val="0"/>
              <w:pageBreakBefore w:val="0"/>
              <w:kinsoku/>
              <w:wordWrap/>
              <w:overflowPunct/>
              <w:topLinePunct w:val="0"/>
              <w:bidi w:val="0"/>
              <w:spacing w:line="240" w:lineRule="auto"/>
              <w:ind w:right="0" w:firstLine="0" w:firstLineChars="0"/>
              <w:jc w:val="left"/>
              <w:rPr>
                <w:rFonts w:hint="default" w:ascii="Times New Roman" w:hAnsi="Times New Roman" w:eastAsia="宋体" w:cs="Times New Roman"/>
                <w:sz w:val="24"/>
                <w:szCs w:val="24"/>
                <w:highlight w:val="none"/>
              </w:rPr>
            </w:pP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不予批准后再次申报项目</w:t>
            </w:r>
          </w:p>
          <w:p w14:paraId="03A1C542">
            <w:pPr>
              <w:keepNext w:val="0"/>
              <w:keepLines w:val="0"/>
              <w:pageBreakBefore w:val="0"/>
              <w:kinsoku/>
              <w:wordWrap/>
              <w:overflowPunct/>
              <w:topLinePunct w:val="0"/>
              <w:bidi w:val="0"/>
              <w:spacing w:line="240" w:lineRule="auto"/>
              <w:ind w:right="0" w:firstLine="0" w:firstLineChars="0"/>
              <w:jc w:val="left"/>
              <w:rPr>
                <w:rFonts w:hint="default" w:ascii="Times New Roman" w:hAnsi="Times New Roman" w:eastAsia="宋体" w:cs="Times New Roman"/>
                <w:sz w:val="24"/>
                <w:szCs w:val="24"/>
                <w:highlight w:val="none"/>
              </w:rPr>
            </w:pP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 xml:space="preserve">超五年重新审核项目     </w:t>
            </w:r>
          </w:p>
          <w:p w14:paraId="18E10656">
            <w:pPr>
              <w:keepNext w:val="0"/>
              <w:keepLines w:val="0"/>
              <w:pageBreakBefore w:val="0"/>
              <w:kinsoku/>
              <w:wordWrap/>
              <w:overflowPunct/>
              <w:topLinePunct w:val="0"/>
              <w:bidi w:val="0"/>
              <w:spacing w:line="240" w:lineRule="auto"/>
              <w:ind w:right="0" w:firstLine="0" w:firstLineChars="0"/>
              <w:jc w:val="left"/>
              <w:rPr>
                <w:rFonts w:hint="default" w:ascii="Times New Roman" w:hAnsi="Times New Roman" w:eastAsia="宋体" w:cs="Times New Roman"/>
                <w:sz w:val="24"/>
                <w:szCs w:val="24"/>
                <w:highlight w:val="none"/>
              </w:rPr>
            </w:pP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重大变动重新报批项目</w:t>
            </w:r>
          </w:p>
        </w:tc>
      </w:tr>
      <w:tr w14:paraId="4ECEB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44AF9902">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项目审批（核准/</w:t>
            </w:r>
          </w:p>
          <w:p w14:paraId="2EF2BE38">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备案）部门（选填）</w:t>
            </w:r>
          </w:p>
        </w:tc>
        <w:tc>
          <w:tcPr>
            <w:tcW w:w="1199" w:type="pct"/>
            <w:noWrap w:val="0"/>
            <w:vAlign w:val="center"/>
          </w:tcPr>
          <w:p w14:paraId="2B7FA391">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w:t>
            </w:r>
          </w:p>
        </w:tc>
        <w:tc>
          <w:tcPr>
            <w:tcW w:w="1151" w:type="pct"/>
            <w:noWrap w:val="0"/>
            <w:vAlign w:val="center"/>
          </w:tcPr>
          <w:p w14:paraId="6A3AFEED">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项目审批（核准/</w:t>
            </w:r>
          </w:p>
          <w:p w14:paraId="014441C4">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备案）文号（选填）</w:t>
            </w:r>
          </w:p>
        </w:tc>
        <w:tc>
          <w:tcPr>
            <w:tcW w:w="1506" w:type="pct"/>
            <w:noWrap w:val="0"/>
            <w:vAlign w:val="center"/>
          </w:tcPr>
          <w:p w14:paraId="6067ABB9">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color w:val="000000"/>
                <w:sz w:val="24"/>
                <w:szCs w:val="24"/>
                <w:highlight w:val="none"/>
                <w:lang w:val="en-US" w:eastAsia="zh-CN"/>
              </w:rPr>
              <w:t>/</w:t>
            </w:r>
          </w:p>
        </w:tc>
      </w:tr>
      <w:tr w14:paraId="21834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79FFFB27">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总投资（万元）</w:t>
            </w:r>
          </w:p>
        </w:tc>
        <w:tc>
          <w:tcPr>
            <w:tcW w:w="1199" w:type="pct"/>
            <w:noWrap w:val="0"/>
            <w:vAlign w:val="center"/>
          </w:tcPr>
          <w:p w14:paraId="6B126CF3">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lang w:val="en-US"/>
              </w:rPr>
            </w:pPr>
            <w:r>
              <w:rPr>
                <w:rFonts w:hint="eastAsia" w:ascii="Times New Roman" w:hAnsi="Times New Roman" w:cs="Times New Roman"/>
                <w:color w:val="000000"/>
                <w:sz w:val="24"/>
                <w:szCs w:val="24"/>
                <w:highlight w:val="none"/>
                <w:lang w:val="en-US" w:eastAsia="zh-CN"/>
              </w:rPr>
              <w:t>180</w:t>
            </w:r>
            <w:r>
              <w:rPr>
                <w:rFonts w:hint="default" w:ascii="Times New Roman" w:hAnsi="Times New Roman" w:cs="Times New Roman"/>
                <w:color w:val="000000"/>
                <w:sz w:val="24"/>
                <w:szCs w:val="24"/>
                <w:highlight w:val="none"/>
              </w:rPr>
              <w:t>万元</w:t>
            </w:r>
          </w:p>
        </w:tc>
        <w:tc>
          <w:tcPr>
            <w:tcW w:w="1151" w:type="pct"/>
            <w:noWrap w:val="0"/>
            <w:tcMar>
              <w:top w:w="16" w:type="dxa"/>
              <w:left w:w="16" w:type="dxa"/>
              <w:right w:w="16" w:type="dxa"/>
            </w:tcMar>
            <w:vAlign w:val="center"/>
          </w:tcPr>
          <w:p w14:paraId="5917F371">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环保投资（万元）</w:t>
            </w:r>
          </w:p>
        </w:tc>
        <w:tc>
          <w:tcPr>
            <w:tcW w:w="1506" w:type="pct"/>
            <w:noWrap w:val="0"/>
            <w:vAlign w:val="center"/>
          </w:tcPr>
          <w:p w14:paraId="45A0471B">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color w:val="000000"/>
                <w:sz w:val="24"/>
                <w:szCs w:val="24"/>
                <w:highlight w:val="none"/>
                <w:lang w:val="en-US" w:eastAsia="zh-CN"/>
              </w:rPr>
              <w:t>15</w:t>
            </w:r>
            <w:r>
              <w:rPr>
                <w:rFonts w:hint="default" w:ascii="Times New Roman" w:hAnsi="Times New Roman" w:cs="Times New Roman"/>
                <w:color w:val="000000"/>
                <w:sz w:val="24"/>
                <w:szCs w:val="24"/>
                <w:highlight w:val="none"/>
              </w:rPr>
              <w:t>万元</w:t>
            </w:r>
          </w:p>
        </w:tc>
      </w:tr>
      <w:tr w14:paraId="075D6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61EC2FFF">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199" w:type="pct"/>
            <w:noWrap w:val="0"/>
            <w:vAlign w:val="center"/>
          </w:tcPr>
          <w:p w14:paraId="54DC06C6">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8.3</w:t>
            </w:r>
          </w:p>
        </w:tc>
        <w:tc>
          <w:tcPr>
            <w:tcW w:w="1151" w:type="pct"/>
            <w:noWrap w:val="0"/>
            <w:tcMar>
              <w:top w:w="16" w:type="dxa"/>
              <w:left w:w="16" w:type="dxa"/>
              <w:right w:w="16" w:type="dxa"/>
            </w:tcMar>
            <w:vAlign w:val="center"/>
          </w:tcPr>
          <w:p w14:paraId="3659425E">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1506" w:type="pct"/>
            <w:noWrap w:val="0"/>
            <w:vAlign w:val="center"/>
          </w:tcPr>
          <w:p w14:paraId="1BF58719">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14:paraId="35F89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43" w:type="pct"/>
            <w:noWrap w:val="0"/>
            <w:tcMar>
              <w:top w:w="16" w:type="dxa"/>
              <w:left w:w="16" w:type="dxa"/>
              <w:right w:w="16" w:type="dxa"/>
            </w:tcMar>
            <w:vAlign w:val="center"/>
          </w:tcPr>
          <w:p w14:paraId="50F4ABAC">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1199" w:type="pct"/>
            <w:noWrap w:val="0"/>
            <w:vAlign w:val="center"/>
          </w:tcPr>
          <w:p w14:paraId="27EFD46A">
            <w:pPr>
              <w:keepNext w:val="0"/>
              <w:keepLines w:val="0"/>
              <w:pageBreakBefore w:val="0"/>
              <w:kinsoku/>
              <w:wordWrap/>
              <w:overflowPunct/>
              <w:topLinePunct w:val="0"/>
              <w:bidi w:val="0"/>
              <w:adjustRightInd w:val="0"/>
              <w:snapToGrid w:val="0"/>
              <w:spacing w:line="240" w:lineRule="auto"/>
              <w:ind w:right="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4AAC3FFB">
            <w:pPr>
              <w:keepNext w:val="0"/>
              <w:keepLines w:val="0"/>
              <w:pageBreakBefore w:val="0"/>
              <w:kinsoku/>
              <w:wordWrap/>
              <w:overflowPunct/>
              <w:topLinePunct w:val="0"/>
              <w:bidi w:val="0"/>
              <w:adjustRightInd w:val="0"/>
              <w:snapToGrid w:val="0"/>
              <w:spacing w:line="240" w:lineRule="auto"/>
              <w:ind w:right="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rPr>
              <w:t xml:space="preserve">             </w:t>
            </w:r>
          </w:p>
        </w:tc>
        <w:tc>
          <w:tcPr>
            <w:tcW w:w="1151" w:type="pct"/>
            <w:noWrap w:val="0"/>
            <w:tcMar>
              <w:top w:w="16" w:type="dxa"/>
              <w:left w:w="16" w:type="dxa"/>
              <w:right w:w="16" w:type="dxa"/>
            </w:tcMar>
            <w:vAlign w:val="center"/>
          </w:tcPr>
          <w:p w14:paraId="422480D4">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081E8809">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1506" w:type="pct"/>
            <w:noWrap w:val="0"/>
            <w:vAlign w:val="center"/>
          </w:tcPr>
          <w:p w14:paraId="23FD3F3E">
            <w:pPr>
              <w:keepNext w:val="0"/>
              <w:keepLines w:val="0"/>
              <w:pageBreakBefore w:val="0"/>
              <w:kinsoku/>
              <w:wordWrap/>
              <w:overflowPunct/>
              <w:topLinePunct w:val="0"/>
              <w:bidi w:val="0"/>
              <w:adjustRightInd w:val="0"/>
              <w:snapToGrid w:val="0"/>
              <w:spacing w:line="240" w:lineRule="auto"/>
              <w:ind w:right="0" w:firstLine="0" w:firstLineChars="0"/>
              <w:jc w:val="center"/>
              <w:rPr>
                <w:rFonts w:hint="eastAsia" w:ascii="Times New Roman" w:hAnsi="Times New Roman" w:eastAsia="宋体" w:cs="Times New Roman"/>
                <w:color w:val="auto"/>
                <w:sz w:val="24"/>
                <w:szCs w:val="24"/>
                <w:highlight w:val="none"/>
                <w:lang w:eastAsia="zh-CN"/>
              </w:rPr>
            </w:pPr>
            <w:r>
              <w:rPr>
                <w:rFonts w:hint="eastAsia" w:cs="Times New Roman"/>
                <w:sz w:val="24"/>
                <w:szCs w:val="24"/>
                <w:highlight w:val="none"/>
                <w:lang w:val="en-US" w:eastAsia="zh-CN"/>
              </w:rPr>
              <w:t>4300m</w:t>
            </w:r>
            <w:r>
              <w:rPr>
                <w:rFonts w:hint="eastAsia" w:cs="Times New Roman"/>
                <w:sz w:val="24"/>
                <w:szCs w:val="24"/>
                <w:highlight w:val="none"/>
                <w:vertAlign w:val="superscript"/>
                <w:lang w:val="en-US" w:eastAsia="zh-CN"/>
              </w:rPr>
              <w:t>2</w:t>
            </w:r>
          </w:p>
        </w:tc>
      </w:tr>
      <w:tr w14:paraId="47F0E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3" w:type="pct"/>
            <w:noWrap w:val="0"/>
            <w:vAlign w:val="center"/>
          </w:tcPr>
          <w:p w14:paraId="3E664078">
            <w:pPr>
              <w:keepNext w:val="0"/>
              <w:keepLines w:val="0"/>
              <w:pageBreakBefore w:val="0"/>
              <w:kinsoku/>
              <w:wordWrap/>
              <w:overflowPunct/>
              <w:topLinePunct w:val="0"/>
              <w:autoSpaceDE w:val="0"/>
              <w:autoSpaceDN w:val="0"/>
              <w:bidi w:val="0"/>
              <w:adjustRightInd w:val="0"/>
              <w:snapToGrid w:val="0"/>
              <w:spacing w:line="240" w:lineRule="auto"/>
              <w:ind w:right="0"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w:t>
            </w:r>
          </w:p>
          <w:p w14:paraId="54D8DC3E">
            <w:pPr>
              <w:keepNext w:val="0"/>
              <w:keepLines w:val="0"/>
              <w:pageBreakBefore w:val="0"/>
              <w:kinsoku/>
              <w:wordWrap/>
              <w:overflowPunct/>
              <w:topLinePunct w:val="0"/>
              <w:autoSpaceDE w:val="0"/>
              <w:autoSpaceDN w:val="0"/>
              <w:bidi w:val="0"/>
              <w:adjustRightInd w:val="0"/>
              <w:snapToGrid w:val="0"/>
              <w:spacing w:line="240" w:lineRule="auto"/>
              <w:ind w:right="0"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设置情况</w:t>
            </w:r>
          </w:p>
        </w:tc>
        <w:tc>
          <w:tcPr>
            <w:tcW w:w="3856" w:type="pct"/>
            <w:gridSpan w:val="3"/>
            <w:noWrap w:val="0"/>
            <w:vAlign w:val="center"/>
          </w:tcPr>
          <w:p w14:paraId="0888CF0B">
            <w:pPr>
              <w:pStyle w:val="94"/>
              <w:spacing w:before="157" w:beforeLines="50" w:line="360" w:lineRule="auto"/>
              <w:ind w:firstLine="480" w:firstLineChars="200"/>
              <w:jc w:val="both"/>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根据《建设项目环境影响报告表编制技术指南(污染类)(试行)》，土壤、声不开展专项评价，地下水原则不开展专项评价。项目工程专项设置情况参照表1</w:t>
            </w:r>
            <w:r>
              <w:rPr>
                <w:rFonts w:hint="eastAsia" w:cs="Times New Roman"/>
                <w:sz w:val="24"/>
                <w:szCs w:val="24"/>
                <w:highlight w:val="none"/>
                <w:lang w:val="en-US" w:eastAsia="zh-CN"/>
              </w:rPr>
              <w:t>-1</w:t>
            </w:r>
            <w:r>
              <w:rPr>
                <w:rFonts w:ascii="Times New Roman" w:hAnsi="Times New Roman" w:eastAsia="宋体" w:cs="Times New Roman"/>
                <w:sz w:val="24"/>
                <w:szCs w:val="24"/>
                <w:highlight w:val="none"/>
              </w:rPr>
              <w:t>专项评价设置原则表判定，具体见下表：</w:t>
            </w:r>
          </w:p>
          <w:p w14:paraId="2C2F47F3">
            <w:pPr>
              <w:pStyle w:val="85"/>
              <w:spacing w:before="157" w:beforeLines="50"/>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表 1-1 专项评价设置原则表</w:t>
            </w:r>
          </w:p>
          <w:tbl>
            <w:tblPr>
              <w:tblStyle w:val="26"/>
              <w:tblW w:w="60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2145"/>
              <w:gridCol w:w="1855"/>
              <w:gridCol w:w="919"/>
            </w:tblGrid>
            <w:tr w14:paraId="279F6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9" w:type="dxa"/>
                  <w:tcBorders>
                    <w:tl2br w:val="nil"/>
                    <w:tr2bl w:val="nil"/>
                  </w:tcBorders>
                  <w:noWrap w:val="0"/>
                  <w:vAlign w:val="center"/>
                </w:tcPr>
                <w:p w14:paraId="4767D451">
                  <w:pPr>
                    <w:pStyle w:val="94"/>
                    <w:spacing w:line="240" w:lineRule="auto"/>
                    <w:jc w:val="center"/>
                    <w:rPr>
                      <w:rFonts w:hint="default" w:ascii="Times New Roman" w:hAnsi="Times New Roman" w:eastAsia="宋体" w:cs="Times New Roman"/>
                      <w:b w:val="0"/>
                      <w:bCs w:val="0"/>
                      <w:color w:val="auto"/>
                      <w:kern w:val="0"/>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vertAlign w:val="baseline"/>
                      <w:lang w:eastAsia="zh-CN"/>
                    </w:rPr>
                    <w:t>专项评价的类别</w:t>
                  </w:r>
                </w:p>
              </w:tc>
              <w:tc>
                <w:tcPr>
                  <w:tcW w:w="2145" w:type="dxa"/>
                  <w:tcBorders>
                    <w:tl2br w:val="nil"/>
                    <w:tr2bl w:val="nil"/>
                  </w:tcBorders>
                  <w:noWrap w:val="0"/>
                  <w:vAlign w:val="center"/>
                </w:tcPr>
                <w:p w14:paraId="7A51A5CC">
                  <w:pPr>
                    <w:pStyle w:val="94"/>
                    <w:spacing w:line="240" w:lineRule="auto"/>
                    <w:jc w:val="center"/>
                    <w:rPr>
                      <w:rFonts w:hint="default" w:ascii="Times New Roman" w:hAnsi="Times New Roman" w:eastAsia="宋体" w:cs="Times New Roman"/>
                      <w:b w:val="0"/>
                      <w:bCs w:val="0"/>
                      <w:color w:val="auto"/>
                      <w:kern w:val="0"/>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vertAlign w:val="baseline"/>
                      <w:lang w:eastAsia="zh-CN"/>
                    </w:rPr>
                    <w:t>设置原则</w:t>
                  </w:r>
                </w:p>
              </w:tc>
              <w:tc>
                <w:tcPr>
                  <w:tcW w:w="1855" w:type="dxa"/>
                  <w:tcBorders>
                    <w:tl2br w:val="nil"/>
                    <w:tr2bl w:val="nil"/>
                  </w:tcBorders>
                  <w:noWrap w:val="0"/>
                  <w:vAlign w:val="center"/>
                </w:tcPr>
                <w:p w14:paraId="4F83F8EB">
                  <w:pPr>
                    <w:pStyle w:val="94"/>
                    <w:spacing w:line="240" w:lineRule="auto"/>
                    <w:jc w:val="center"/>
                    <w:rPr>
                      <w:rFonts w:hint="default" w:ascii="Times New Roman" w:hAnsi="Times New Roman" w:eastAsia="宋体" w:cs="Times New Roman"/>
                      <w:b w:val="0"/>
                      <w:bCs w:val="0"/>
                      <w:color w:val="auto"/>
                      <w:kern w:val="0"/>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vertAlign w:val="baseline"/>
                      <w:lang w:eastAsia="zh-CN"/>
                    </w:rPr>
                    <w:t>本项目情况</w:t>
                  </w:r>
                </w:p>
              </w:tc>
              <w:tc>
                <w:tcPr>
                  <w:tcW w:w="919" w:type="dxa"/>
                  <w:tcBorders>
                    <w:tl2br w:val="nil"/>
                    <w:tr2bl w:val="nil"/>
                  </w:tcBorders>
                  <w:noWrap w:val="0"/>
                  <w:vAlign w:val="center"/>
                </w:tcPr>
                <w:p w14:paraId="169CAEB6">
                  <w:pPr>
                    <w:pStyle w:val="94"/>
                    <w:spacing w:line="240" w:lineRule="auto"/>
                    <w:jc w:val="center"/>
                    <w:rPr>
                      <w:rFonts w:hint="default" w:ascii="Times New Roman" w:hAnsi="Times New Roman" w:eastAsia="宋体" w:cs="Times New Roman"/>
                      <w:b w:val="0"/>
                      <w:bCs w:val="0"/>
                      <w:color w:val="auto"/>
                      <w:kern w:val="0"/>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vertAlign w:val="baseline"/>
                      <w:lang w:eastAsia="zh-CN"/>
                    </w:rPr>
                    <w:t>是否设置专项评价</w:t>
                  </w:r>
                </w:p>
              </w:tc>
            </w:tr>
            <w:tr w14:paraId="3B9B2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9" w:type="dxa"/>
                  <w:tcBorders>
                    <w:tl2br w:val="nil"/>
                    <w:tr2bl w:val="nil"/>
                  </w:tcBorders>
                  <w:noWrap w:val="0"/>
                  <w:vAlign w:val="center"/>
                </w:tcPr>
                <w:p w14:paraId="486CB0D5">
                  <w:pPr>
                    <w:pStyle w:val="94"/>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eastAsia="zh-CN"/>
                    </w:rPr>
                    <w:t>大气</w:t>
                  </w:r>
                </w:p>
              </w:tc>
              <w:tc>
                <w:tcPr>
                  <w:tcW w:w="2145" w:type="dxa"/>
                  <w:tcBorders>
                    <w:tl2br w:val="nil"/>
                    <w:tr2bl w:val="nil"/>
                  </w:tcBorders>
                  <w:noWrap w:val="0"/>
                  <w:vAlign w:val="center"/>
                </w:tcPr>
                <w:p w14:paraId="5CFC9FD7">
                  <w:pPr>
                    <w:pStyle w:val="94"/>
                    <w:spacing w:line="240" w:lineRule="auto"/>
                    <w:jc w:val="center"/>
                    <w:rPr>
                      <w:rFonts w:ascii="Times New Roman" w:hAnsi="Times New Roman" w:cs="Times New Roman"/>
                      <w:color w:val="auto"/>
                      <w:kern w:val="0"/>
                      <w:sz w:val="21"/>
                      <w:szCs w:val="21"/>
                      <w:highlight w:val="none"/>
                      <w:vertAlign w:val="baseline"/>
                    </w:rPr>
                  </w:pPr>
                  <w:r>
                    <w:rPr>
                      <w:rFonts w:hint="default" w:ascii="Times New Roman" w:hAnsi="Times New Roman" w:cs="Times New Roman"/>
                      <w:color w:val="auto"/>
                      <w:kern w:val="0"/>
                      <w:sz w:val="21"/>
                      <w:szCs w:val="21"/>
                      <w:highlight w:val="none"/>
                      <w:vertAlign w:val="baseline"/>
                    </w:rPr>
                    <w:t>排放废气含有毒有害污染物</w:t>
                  </w:r>
                  <w:r>
                    <w:rPr>
                      <w:rFonts w:ascii="Times New Roman" w:hAnsi="Times New Roman" w:eastAsia="宋体" w:cs="Times New Roman"/>
                      <w:sz w:val="21"/>
                      <w:szCs w:val="21"/>
                      <w:highlight w:val="none"/>
                    </w:rPr>
                    <w:t>、二噁英、苯并[a]芘、氰化物、氯气且厂界外500米范围内有环境空气保护目标的建设项目</w:t>
                  </w:r>
                </w:p>
              </w:tc>
              <w:tc>
                <w:tcPr>
                  <w:tcW w:w="1855" w:type="dxa"/>
                  <w:tcBorders>
                    <w:tl2br w:val="nil"/>
                    <w:tr2bl w:val="nil"/>
                  </w:tcBorders>
                  <w:noWrap w:val="0"/>
                  <w:vAlign w:val="center"/>
                </w:tcPr>
                <w:p w14:paraId="79ABA9E8">
                  <w:pPr>
                    <w:pStyle w:val="94"/>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eastAsia="zh-CN"/>
                    </w:rPr>
                    <w:t>项目废气不涉及大气专项设置原则中提及的有毒有害物质</w:t>
                  </w:r>
                </w:p>
              </w:tc>
              <w:tc>
                <w:tcPr>
                  <w:tcW w:w="919" w:type="dxa"/>
                  <w:tcBorders>
                    <w:tl2br w:val="nil"/>
                    <w:tr2bl w:val="nil"/>
                  </w:tcBorders>
                  <w:noWrap w:val="0"/>
                  <w:vAlign w:val="center"/>
                </w:tcPr>
                <w:p w14:paraId="25AB9A27">
                  <w:pPr>
                    <w:pStyle w:val="94"/>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eastAsia="zh-CN"/>
                    </w:rPr>
                    <w:t>否</w:t>
                  </w:r>
                </w:p>
              </w:tc>
            </w:tr>
            <w:tr w14:paraId="11E3F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9" w:type="dxa"/>
                  <w:tcBorders>
                    <w:tl2br w:val="nil"/>
                    <w:tr2bl w:val="nil"/>
                  </w:tcBorders>
                  <w:noWrap w:val="0"/>
                  <w:vAlign w:val="center"/>
                </w:tcPr>
                <w:p w14:paraId="030C42B0">
                  <w:pPr>
                    <w:pStyle w:val="94"/>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eastAsia="zh-CN"/>
                    </w:rPr>
                    <w:t>地表水</w:t>
                  </w:r>
                </w:p>
              </w:tc>
              <w:tc>
                <w:tcPr>
                  <w:tcW w:w="2145" w:type="dxa"/>
                  <w:tcBorders>
                    <w:tl2br w:val="nil"/>
                    <w:tr2bl w:val="nil"/>
                  </w:tcBorders>
                  <w:noWrap w:val="0"/>
                  <w:vAlign w:val="center"/>
                </w:tcPr>
                <w:p w14:paraId="64AD9ED8">
                  <w:pPr>
                    <w:pStyle w:val="94"/>
                    <w:spacing w:line="240" w:lineRule="auto"/>
                    <w:jc w:val="center"/>
                    <w:rPr>
                      <w:rFonts w:ascii="Times New Roman" w:hAnsi="Times New Roman" w:cs="Times New Roman"/>
                      <w:color w:val="auto"/>
                      <w:kern w:val="0"/>
                      <w:sz w:val="21"/>
                      <w:szCs w:val="21"/>
                      <w:highlight w:val="none"/>
                      <w:vertAlign w:val="baseline"/>
                    </w:rPr>
                  </w:pPr>
                  <w:r>
                    <w:rPr>
                      <w:rFonts w:hint="default" w:ascii="Times New Roman" w:hAnsi="Times New Roman" w:cs="Times New Roman"/>
                      <w:color w:val="auto"/>
                      <w:kern w:val="0"/>
                      <w:sz w:val="21"/>
                      <w:szCs w:val="21"/>
                      <w:highlight w:val="none"/>
                      <w:vertAlign w:val="baseline"/>
                    </w:rPr>
                    <w:t>新增工业废水直排建设项目（槽罐车外送污水处理厂的除外）；新增废水直排的污水集中处理厂</w:t>
                  </w:r>
                </w:p>
              </w:tc>
              <w:tc>
                <w:tcPr>
                  <w:tcW w:w="1855" w:type="dxa"/>
                  <w:tcBorders>
                    <w:tl2br w:val="nil"/>
                    <w:tr2bl w:val="nil"/>
                  </w:tcBorders>
                  <w:noWrap w:val="0"/>
                  <w:vAlign w:val="center"/>
                </w:tcPr>
                <w:p w14:paraId="3D5AACF7">
                  <w:pPr>
                    <w:pStyle w:val="94"/>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eastAsia="zh-CN"/>
                    </w:rPr>
                    <w:t>本项目生产废水经废水处理设施处理后通过市政管网纳入晋江市仙石污水处理厂集中处理</w:t>
                  </w:r>
                </w:p>
              </w:tc>
              <w:tc>
                <w:tcPr>
                  <w:tcW w:w="919" w:type="dxa"/>
                  <w:tcBorders>
                    <w:tl2br w:val="nil"/>
                    <w:tr2bl w:val="nil"/>
                  </w:tcBorders>
                  <w:noWrap w:val="0"/>
                  <w:vAlign w:val="center"/>
                </w:tcPr>
                <w:p w14:paraId="0089C5EC">
                  <w:pPr>
                    <w:pStyle w:val="94"/>
                    <w:spacing w:line="240" w:lineRule="auto"/>
                    <w:jc w:val="center"/>
                    <w:rPr>
                      <w:color w:val="auto"/>
                      <w:kern w:val="0"/>
                      <w:sz w:val="21"/>
                      <w:szCs w:val="21"/>
                      <w:highlight w:val="none"/>
                      <w:vertAlign w:val="baseline"/>
                    </w:rPr>
                  </w:pPr>
                  <w:r>
                    <w:rPr>
                      <w:rFonts w:hint="eastAsia"/>
                      <w:color w:val="auto"/>
                      <w:kern w:val="0"/>
                      <w:sz w:val="21"/>
                      <w:szCs w:val="21"/>
                      <w:highlight w:val="none"/>
                      <w:vertAlign w:val="baseline"/>
                      <w:lang w:eastAsia="zh-CN"/>
                    </w:rPr>
                    <w:t>否</w:t>
                  </w:r>
                </w:p>
              </w:tc>
            </w:tr>
            <w:tr w14:paraId="062E6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9" w:type="dxa"/>
                  <w:tcBorders>
                    <w:tl2br w:val="nil"/>
                    <w:tr2bl w:val="nil"/>
                  </w:tcBorders>
                  <w:noWrap w:val="0"/>
                  <w:vAlign w:val="center"/>
                </w:tcPr>
                <w:p w14:paraId="663015D1">
                  <w:pPr>
                    <w:pStyle w:val="94"/>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eastAsia="zh-CN"/>
                    </w:rPr>
                    <w:t>环境风险</w:t>
                  </w:r>
                </w:p>
              </w:tc>
              <w:tc>
                <w:tcPr>
                  <w:tcW w:w="2145" w:type="dxa"/>
                  <w:tcBorders>
                    <w:tl2br w:val="nil"/>
                    <w:tr2bl w:val="nil"/>
                  </w:tcBorders>
                  <w:noWrap w:val="0"/>
                  <w:vAlign w:val="center"/>
                </w:tcPr>
                <w:p w14:paraId="532D8C13">
                  <w:pPr>
                    <w:pStyle w:val="94"/>
                    <w:spacing w:line="240" w:lineRule="auto"/>
                    <w:jc w:val="center"/>
                    <w:rPr>
                      <w:rFonts w:ascii="Times New Roman" w:hAnsi="Times New Roman" w:cs="Times New Roman"/>
                      <w:color w:val="auto"/>
                      <w:kern w:val="0"/>
                      <w:sz w:val="21"/>
                      <w:szCs w:val="21"/>
                      <w:highlight w:val="none"/>
                      <w:vertAlign w:val="baseline"/>
                    </w:rPr>
                  </w:pPr>
                  <w:r>
                    <w:rPr>
                      <w:rFonts w:hint="default" w:ascii="Times New Roman" w:hAnsi="Times New Roman" w:cs="Times New Roman"/>
                      <w:color w:val="auto"/>
                      <w:kern w:val="0"/>
                      <w:sz w:val="21"/>
                      <w:szCs w:val="21"/>
                      <w:highlight w:val="none"/>
                      <w:vertAlign w:val="baseline"/>
                    </w:rPr>
                    <w:t>有毒有害和易燃易爆危险物质存储量超过临界量的建设项目</w:t>
                  </w:r>
                </w:p>
              </w:tc>
              <w:tc>
                <w:tcPr>
                  <w:tcW w:w="1855" w:type="dxa"/>
                  <w:tcBorders>
                    <w:tl2br w:val="nil"/>
                    <w:tr2bl w:val="nil"/>
                  </w:tcBorders>
                  <w:noWrap w:val="0"/>
                  <w:vAlign w:val="center"/>
                </w:tcPr>
                <w:p w14:paraId="5ABCC410">
                  <w:pPr>
                    <w:pStyle w:val="94"/>
                    <w:spacing w:line="240" w:lineRule="auto"/>
                    <w:rPr>
                      <w:rFonts w:hint="eastAsia" w:ascii="Times New Roman" w:hAnsi="Times New Roman" w:eastAsia="宋体" w:cs="Times New Roman"/>
                      <w:color w:val="auto"/>
                      <w:kern w:val="0"/>
                      <w:sz w:val="21"/>
                      <w:szCs w:val="21"/>
                      <w:highlight w:val="none"/>
                      <w:vertAlign w:val="baseline"/>
                    </w:rPr>
                  </w:pPr>
                  <w:r>
                    <w:rPr>
                      <w:rFonts w:ascii="Times New Roman" w:hAnsi="Times New Roman" w:eastAsia="宋体" w:cs="Times New Roman"/>
                      <w:sz w:val="21"/>
                      <w:szCs w:val="21"/>
                      <w:highlight w:val="none"/>
                    </w:rPr>
                    <w:t>项目危险物质与临界值比值Q＜1，危险物质存储量未超过临界量</w:t>
                  </w:r>
                </w:p>
              </w:tc>
              <w:tc>
                <w:tcPr>
                  <w:tcW w:w="919" w:type="dxa"/>
                  <w:tcBorders>
                    <w:tl2br w:val="nil"/>
                    <w:tr2bl w:val="nil"/>
                  </w:tcBorders>
                  <w:noWrap w:val="0"/>
                  <w:vAlign w:val="center"/>
                </w:tcPr>
                <w:p w14:paraId="35D5812E">
                  <w:pPr>
                    <w:pStyle w:val="94"/>
                    <w:spacing w:line="240" w:lineRule="auto"/>
                    <w:jc w:val="center"/>
                    <w:rPr>
                      <w:color w:val="auto"/>
                      <w:kern w:val="0"/>
                      <w:sz w:val="21"/>
                      <w:szCs w:val="21"/>
                      <w:highlight w:val="none"/>
                      <w:vertAlign w:val="baseline"/>
                    </w:rPr>
                  </w:pPr>
                  <w:r>
                    <w:rPr>
                      <w:rFonts w:hint="eastAsia"/>
                      <w:color w:val="auto"/>
                      <w:kern w:val="0"/>
                      <w:sz w:val="21"/>
                      <w:szCs w:val="21"/>
                      <w:highlight w:val="none"/>
                      <w:vertAlign w:val="baseline"/>
                      <w:lang w:eastAsia="zh-CN"/>
                    </w:rPr>
                    <w:t>否</w:t>
                  </w:r>
                </w:p>
              </w:tc>
            </w:tr>
            <w:tr w14:paraId="59ADB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9" w:type="dxa"/>
                  <w:tcBorders>
                    <w:tl2br w:val="nil"/>
                    <w:tr2bl w:val="nil"/>
                  </w:tcBorders>
                  <w:noWrap w:val="0"/>
                  <w:vAlign w:val="center"/>
                </w:tcPr>
                <w:p w14:paraId="5E1199A8">
                  <w:pPr>
                    <w:pStyle w:val="94"/>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eastAsia="zh-CN"/>
                    </w:rPr>
                    <w:t>生态</w:t>
                  </w:r>
                </w:p>
              </w:tc>
              <w:tc>
                <w:tcPr>
                  <w:tcW w:w="2145" w:type="dxa"/>
                  <w:tcBorders>
                    <w:tl2br w:val="nil"/>
                    <w:tr2bl w:val="nil"/>
                  </w:tcBorders>
                  <w:noWrap w:val="0"/>
                  <w:vAlign w:val="center"/>
                </w:tcPr>
                <w:p w14:paraId="2D800A17">
                  <w:pPr>
                    <w:pStyle w:val="94"/>
                    <w:spacing w:line="240" w:lineRule="auto"/>
                    <w:jc w:val="center"/>
                    <w:rPr>
                      <w:rFonts w:ascii="Times New Roman" w:hAnsi="Times New Roman" w:cs="Times New Roman"/>
                      <w:color w:val="auto"/>
                      <w:kern w:val="0"/>
                      <w:sz w:val="21"/>
                      <w:szCs w:val="21"/>
                      <w:highlight w:val="none"/>
                      <w:vertAlign w:val="baseline"/>
                    </w:rPr>
                  </w:pPr>
                  <w:r>
                    <w:rPr>
                      <w:rFonts w:hint="default" w:ascii="Times New Roman" w:hAnsi="Times New Roman" w:cs="Times New Roman"/>
                      <w:color w:val="auto"/>
                      <w:kern w:val="0"/>
                      <w:sz w:val="21"/>
                      <w:szCs w:val="21"/>
                      <w:highlight w:val="none"/>
                      <w:vertAlign w:val="baseline"/>
                    </w:rPr>
                    <w:t>取水口下游500米范围内有重要水生生物的自然产卵场、索饵场、越冬场和洄游通道的新增河道取水的污染类建设项目</w:t>
                  </w:r>
                </w:p>
              </w:tc>
              <w:tc>
                <w:tcPr>
                  <w:tcW w:w="1855" w:type="dxa"/>
                  <w:tcBorders>
                    <w:tl2br w:val="nil"/>
                    <w:tr2bl w:val="nil"/>
                  </w:tcBorders>
                  <w:noWrap w:val="0"/>
                  <w:vAlign w:val="center"/>
                </w:tcPr>
                <w:p w14:paraId="1DE5F626">
                  <w:pPr>
                    <w:pStyle w:val="94"/>
                    <w:spacing w:line="240" w:lineRule="auto"/>
                    <w:rPr>
                      <w:rFonts w:hint="eastAsia"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rPr>
                    <w:t>本项目不涉及取水口</w:t>
                  </w:r>
                </w:p>
              </w:tc>
              <w:tc>
                <w:tcPr>
                  <w:tcW w:w="919" w:type="dxa"/>
                  <w:tcBorders>
                    <w:tl2br w:val="nil"/>
                    <w:tr2bl w:val="nil"/>
                  </w:tcBorders>
                  <w:noWrap w:val="0"/>
                  <w:vAlign w:val="center"/>
                </w:tcPr>
                <w:p w14:paraId="6D628A7B">
                  <w:pPr>
                    <w:pStyle w:val="94"/>
                    <w:spacing w:line="240" w:lineRule="auto"/>
                    <w:jc w:val="center"/>
                    <w:rPr>
                      <w:color w:val="auto"/>
                      <w:kern w:val="0"/>
                      <w:sz w:val="21"/>
                      <w:szCs w:val="21"/>
                      <w:highlight w:val="none"/>
                      <w:vertAlign w:val="baseline"/>
                    </w:rPr>
                  </w:pPr>
                  <w:r>
                    <w:rPr>
                      <w:rFonts w:hint="eastAsia"/>
                      <w:color w:val="auto"/>
                      <w:kern w:val="0"/>
                      <w:sz w:val="21"/>
                      <w:szCs w:val="21"/>
                      <w:highlight w:val="none"/>
                      <w:vertAlign w:val="baseline"/>
                      <w:lang w:eastAsia="zh-CN"/>
                    </w:rPr>
                    <w:t>否</w:t>
                  </w:r>
                </w:p>
              </w:tc>
            </w:tr>
            <w:tr w14:paraId="432B6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9" w:type="dxa"/>
                  <w:tcBorders>
                    <w:tl2br w:val="nil"/>
                    <w:tr2bl w:val="nil"/>
                  </w:tcBorders>
                  <w:noWrap w:val="0"/>
                  <w:vAlign w:val="center"/>
                </w:tcPr>
                <w:p w14:paraId="05F1E60D">
                  <w:pPr>
                    <w:pStyle w:val="94"/>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eastAsia="zh-CN"/>
                    </w:rPr>
                    <w:t>海洋</w:t>
                  </w:r>
                </w:p>
              </w:tc>
              <w:tc>
                <w:tcPr>
                  <w:tcW w:w="2145" w:type="dxa"/>
                  <w:tcBorders>
                    <w:tl2br w:val="nil"/>
                    <w:tr2bl w:val="nil"/>
                  </w:tcBorders>
                  <w:noWrap w:val="0"/>
                  <w:vAlign w:val="center"/>
                </w:tcPr>
                <w:p w14:paraId="1CF62FEC">
                  <w:pPr>
                    <w:pStyle w:val="94"/>
                    <w:spacing w:line="240" w:lineRule="auto"/>
                    <w:jc w:val="center"/>
                    <w:rPr>
                      <w:rFonts w:ascii="Times New Roman" w:hAnsi="Times New Roman" w:cs="Times New Roman"/>
                      <w:color w:val="auto"/>
                      <w:kern w:val="0"/>
                      <w:sz w:val="21"/>
                      <w:szCs w:val="21"/>
                      <w:highlight w:val="none"/>
                      <w:vertAlign w:val="baseline"/>
                    </w:rPr>
                  </w:pPr>
                  <w:r>
                    <w:rPr>
                      <w:rFonts w:hint="default" w:ascii="Times New Roman" w:hAnsi="Times New Roman" w:cs="Times New Roman"/>
                      <w:color w:val="auto"/>
                      <w:kern w:val="0"/>
                      <w:sz w:val="21"/>
                      <w:szCs w:val="21"/>
                      <w:highlight w:val="none"/>
                      <w:vertAlign w:val="baseline"/>
                    </w:rPr>
                    <w:t>直接向海排放污染物的海洋工程建设项目</w:t>
                  </w:r>
                </w:p>
              </w:tc>
              <w:tc>
                <w:tcPr>
                  <w:tcW w:w="1855" w:type="dxa"/>
                  <w:tcBorders>
                    <w:tl2br w:val="nil"/>
                    <w:tr2bl w:val="nil"/>
                  </w:tcBorders>
                  <w:noWrap w:val="0"/>
                  <w:vAlign w:val="center"/>
                </w:tcPr>
                <w:p w14:paraId="71999D10">
                  <w:pPr>
                    <w:pStyle w:val="94"/>
                    <w:spacing w:line="240" w:lineRule="auto"/>
                    <w:rPr>
                      <w:rFonts w:hint="eastAsia" w:ascii="Times New Roman" w:hAnsi="Times New Roman" w:eastAsia="宋体" w:cs="Times New Roman"/>
                      <w:color w:val="auto"/>
                      <w:kern w:val="0"/>
                      <w:sz w:val="21"/>
                      <w:szCs w:val="21"/>
                      <w:highlight w:val="none"/>
                      <w:vertAlign w:val="baseline"/>
                    </w:rPr>
                  </w:pPr>
                  <w:r>
                    <w:rPr>
                      <w:rFonts w:ascii="宋体" w:hAnsi="宋体" w:eastAsia="宋体" w:cs="宋体"/>
                      <w:sz w:val="21"/>
                      <w:szCs w:val="21"/>
                      <w:highlight w:val="none"/>
                    </w:rPr>
                    <w:t>本项目不属于海洋工程建设项目</w:t>
                  </w:r>
                </w:p>
              </w:tc>
              <w:tc>
                <w:tcPr>
                  <w:tcW w:w="919" w:type="dxa"/>
                  <w:tcBorders>
                    <w:tl2br w:val="nil"/>
                    <w:tr2bl w:val="nil"/>
                  </w:tcBorders>
                  <w:noWrap w:val="0"/>
                  <w:vAlign w:val="center"/>
                </w:tcPr>
                <w:p w14:paraId="5E826BEE">
                  <w:pPr>
                    <w:pStyle w:val="94"/>
                    <w:spacing w:line="240" w:lineRule="auto"/>
                    <w:jc w:val="center"/>
                    <w:rPr>
                      <w:color w:val="auto"/>
                      <w:kern w:val="0"/>
                      <w:sz w:val="21"/>
                      <w:szCs w:val="21"/>
                      <w:highlight w:val="none"/>
                      <w:vertAlign w:val="baseline"/>
                    </w:rPr>
                  </w:pPr>
                  <w:r>
                    <w:rPr>
                      <w:rFonts w:hint="eastAsia"/>
                      <w:color w:val="auto"/>
                      <w:kern w:val="0"/>
                      <w:sz w:val="21"/>
                      <w:szCs w:val="21"/>
                      <w:highlight w:val="none"/>
                      <w:vertAlign w:val="baseline"/>
                      <w:lang w:eastAsia="zh-CN"/>
                    </w:rPr>
                    <w:t>否</w:t>
                  </w:r>
                </w:p>
              </w:tc>
            </w:tr>
            <w:tr w14:paraId="19985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08" w:type="dxa"/>
                  <w:gridSpan w:val="4"/>
                  <w:tcBorders>
                    <w:tl2br w:val="nil"/>
                    <w:tr2bl w:val="nil"/>
                  </w:tcBorders>
                  <w:noWrap w:val="0"/>
                  <w:vAlign w:val="center"/>
                </w:tcPr>
                <w:p w14:paraId="37EF1D8D">
                  <w:pPr>
                    <w:pStyle w:val="94"/>
                    <w:spacing w:line="24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注：1、废气中有毒有害污染物指纳入《有毒有害大气污染物名录》的污染物（不包括无排放标准的污染物）。</w:t>
                  </w:r>
                </w:p>
                <w:p w14:paraId="330DDFD6">
                  <w:pPr>
                    <w:pStyle w:val="94"/>
                    <w:numPr>
                      <w:ilvl w:val="0"/>
                      <w:numId w:val="2"/>
                    </w:numPr>
                    <w:spacing w:line="24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环境空气保护目标指自然保护区、风景名胜区、居住区、文化区和农村地区中人群较集中的区域。</w:t>
                  </w:r>
                </w:p>
                <w:p w14:paraId="1EAF28F6">
                  <w:pPr>
                    <w:pStyle w:val="94"/>
                    <w:numPr>
                      <w:ilvl w:val="0"/>
                      <w:numId w:val="2"/>
                    </w:numPr>
                    <w:spacing w:line="240" w:lineRule="auto"/>
                    <w:jc w:val="left"/>
                    <w:rPr>
                      <w:rFonts w:hint="eastAsia"/>
                      <w:color w:val="auto"/>
                      <w:kern w:val="0"/>
                      <w:sz w:val="21"/>
                      <w:szCs w:val="21"/>
                      <w:highlight w:val="none"/>
                      <w:vertAlign w:val="baseline"/>
                      <w:lang w:eastAsia="zh-CN"/>
                    </w:rPr>
                  </w:pPr>
                  <w:r>
                    <w:rPr>
                      <w:rFonts w:ascii="Times New Roman" w:hAnsi="Times New Roman" w:eastAsia="宋体" w:cs="Times New Roman"/>
                      <w:sz w:val="21"/>
                      <w:szCs w:val="21"/>
                      <w:highlight w:val="none"/>
                    </w:rPr>
                    <w:t>临界量及其计算方法可参考HJ169《建设项目环境风险评价技术导则》附录B、附录C。</w:t>
                  </w:r>
                </w:p>
              </w:tc>
            </w:tr>
          </w:tbl>
          <w:p w14:paraId="06EF4C5E">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4"/>
                <w:szCs w:val="24"/>
                <w:highlight w:val="none"/>
                <w:lang w:val="en-US" w:eastAsia="zh-CN"/>
              </w:rPr>
            </w:pPr>
            <w:r>
              <w:rPr>
                <w:rFonts w:ascii="宋体" w:hAnsi="宋体" w:eastAsia="宋体" w:cs="宋体"/>
                <w:sz w:val="24"/>
                <w:szCs w:val="24"/>
                <w:highlight w:val="none"/>
              </w:rPr>
              <w:t>根据以上分析，项目不需要设置专项评价。</w:t>
            </w:r>
          </w:p>
        </w:tc>
      </w:tr>
      <w:tr w14:paraId="62F06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3" w:type="pct"/>
            <w:noWrap w:val="0"/>
            <w:vAlign w:val="center"/>
          </w:tcPr>
          <w:p w14:paraId="6E17CF2F">
            <w:pPr>
              <w:keepNext w:val="0"/>
              <w:keepLines w:val="0"/>
              <w:pageBreakBefore w:val="0"/>
              <w:kinsoku/>
              <w:wordWrap/>
              <w:overflowPunct/>
              <w:topLinePunct w:val="0"/>
              <w:autoSpaceDE w:val="0"/>
              <w:autoSpaceDN w:val="0"/>
              <w:bidi w:val="0"/>
              <w:adjustRightInd w:val="0"/>
              <w:snapToGrid w:val="0"/>
              <w:spacing w:line="240" w:lineRule="auto"/>
              <w:ind w:right="0"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3856" w:type="pct"/>
            <w:gridSpan w:val="3"/>
            <w:noWrap w:val="0"/>
            <w:vAlign w:val="center"/>
          </w:tcPr>
          <w:p w14:paraId="4726E0C5">
            <w:pPr>
              <w:keepNext w:val="0"/>
              <w:keepLines w:val="0"/>
              <w:pageBreakBefore w:val="0"/>
              <w:widowControl w:val="0"/>
              <w:kinsoku/>
              <w:wordWrap/>
              <w:overflowPunct/>
              <w:topLinePunct w:val="0"/>
              <w:autoSpaceDE w:val="0"/>
              <w:autoSpaceDN w:val="0"/>
              <w:bidi w:val="0"/>
              <w:adjustRightInd w:val="0"/>
              <w:snapToGrid w:val="0"/>
              <w:spacing w:before="0" w:beforeLines="0" w:line="360" w:lineRule="auto"/>
              <w:ind w:right="0" w:firstLine="0" w:firstLineChars="0"/>
              <w:jc w:val="both"/>
              <w:textAlignment w:val="auto"/>
              <w:rPr>
                <w:rFonts w:hint="default"/>
                <w:color w:val="000000"/>
                <w:sz w:val="24"/>
                <w:szCs w:val="24"/>
                <w:highlight w:val="none"/>
                <w:lang w:val="en-US" w:eastAsia="zh-CN"/>
              </w:rPr>
            </w:pPr>
            <w:r>
              <w:rPr>
                <w:rFonts w:hint="eastAsia"/>
                <w:color w:val="000000"/>
                <w:sz w:val="24"/>
                <w:szCs w:val="24"/>
                <w:highlight w:val="none"/>
                <w:lang w:val="en-US" w:eastAsia="zh-CN"/>
              </w:rPr>
              <w:t>规划名称：</w:t>
            </w:r>
            <w:r>
              <w:rPr>
                <w:rFonts w:hint="default"/>
                <w:color w:val="000000"/>
                <w:sz w:val="24"/>
                <w:szCs w:val="24"/>
                <w:highlight w:val="none"/>
                <w:lang w:val="en-US" w:eastAsia="zh-CN"/>
              </w:rPr>
              <w:t>《</w:t>
            </w:r>
            <w:r>
              <w:rPr>
                <w:rFonts w:hint="eastAsia"/>
                <w:color w:val="000000"/>
                <w:sz w:val="24"/>
                <w:szCs w:val="24"/>
                <w:highlight w:val="none"/>
                <w:lang w:val="en-US" w:eastAsia="zh-CN"/>
              </w:rPr>
              <w:t>泉州市江南新区控制性详细规划修编</w:t>
            </w:r>
            <w:r>
              <w:rPr>
                <w:rFonts w:hint="default"/>
                <w:color w:val="000000"/>
                <w:sz w:val="24"/>
                <w:szCs w:val="24"/>
                <w:highlight w:val="none"/>
                <w:lang w:val="en-US" w:eastAsia="zh-CN"/>
              </w:rPr>
              <w:t>》</w:t>
            </w:r>
            <w:r>
              <w:rPr>
                <w:rFonts w:hint="eastAsia"/>
                <w:color w:val="000000"/>
                <w:sz w:val="24"/>
                <w:szCs w:val="24"/>
                <w:highlight w:val="none"/>
                <w:lang w:val="en-US" w:eastAsia="zh-CN"/>
              </w:rPr>
              <w:t>；</w:t>
            </w:r>
          </w:p>
          <w:p w14:paraId="637DA6E9">
            <w:pPr>
              <w:keepNext w:val="0"/>
              <w:keepLines w:val="0"/>
              <w:pageBreakBefore w:val="0"/>
              <w:widowControl w:val="0"/>
              <w:kinsoku/>
              <w:wordWrap/>
              <w:overflowPunct/>
              <w:topLinePunct w:val="0"/>
              <w:autoSpaceDE w:val="0"/>
              <w:autoSpaceDN w:val="0"/>
              <w:bidi w:val="0"/>
              <w:adjustRightInd w:val="0"/>
              <w:snapToGrid w:val="0"/>
              <w:spacing w:beforeLines="0" w:line="360" w:lineRule="auto"/>
              <w:ind w:right="0" w:firstLine="0" w:firstLineChars="0"/>
              <w:jc w:val="both"/>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审批机关：泉州市人民政府；</w:t>
            </w:r>
          </w:p>
          <w:p w14:paraId="7E5DEF67">
            <w:pPr>
              <w:pStyle w:val="2"/>
              <w:keepNext w:val="0"/>
              <w:keepLines w:val="0"/>
              <w:pageBreakBefore w:val="0"/>
              <w:widowControl w:val="0"/>
              <w:kinsoku/>
              <w:wordWrap/>
              <w:overflowPunct/>
              <w:topLinePunct w:val="0"/>
              <w:bidi w:val="0"/>
              <w:spacing w:beforeLines="0" w:after="0" w:line="360" w:lineRule="auto"/>
              <w:ind w:left="0" w:leftChars="0" w:firstLine="0" w:firstLineChars="0"/>
              <w:jc w:val="both"/>
              <w:textAlignment w:val="auto"/>
              <w:rPr>
                <w:rFonts w:hint="default" w:eastAsia="宋体"/>
                <w:highlight w:val="none"/>
                <w:lang w:val="en-US" w:eastAsia="zh-CN"/>
              </w:rPr>
            </w:pPr>
            <w:r>
              <w:rPr>
                <w:rFonts w:hint="eastAsia" w:ascii="Times New Roman" w:hAnsi="Times New Roman" w:eastAsia="宋体" w:cs="Times New Roman"/>
                <w:color w:val="000000"/>
                <w:sz w:val="24"/>
                <w:szCs w:val="24"/>
                <w:highlight w:val="none"/>
                <w:lang w:val="en-US" w:eastAsia="zh-CN"/>
              </w:rPr>
              <w:t>审批文件名称及文号：《泉州市人民政府关于泉州市江南新区控制性详细规划修编的批复》（泉政函[2023]68号）</w:t>
            </w:r>
          </w:p>
        </w:tc>
      </w:tr>
      <w:tr w14:paraId="45879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43" w:type="pct"/>
            <w:noWrap w:val="0"/>
            <w:vAlign w:val="center"/>
          </w:tcPr>
          <w:p w14:paraId="1025C092">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14:paraId="62962709">
            <w:pPr>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3856" w:type="pct"/>
            <w:gridSpan w:val="3"/>
            <w:noWrap w:val="0"/>
            <w:vAlign w:val="center"/>
          </w:tcPr>
          <w:p w14:paraId="271718AF">
            <w:pPr>
              <w:pStyle w:val="2"/>
              <w:keepNext w:val="0"/>
              <w:keepLines w:val="0"/>
              <w:pageBreakBefore w:val="0"/>
              <w:widowControl w:val="0"/>
              <w:kinsoku/>
              <w:wordWrap/>
              <w:overflowPunct/>
              <w:topLinePunct w:val="0"/>
              <w:bidi w:val="0"/>
              <w:spacing w:beforeLines="0" w:after="0" w:line="360" w:lineRule="auto"/>
              <w:ind w:left="0" w:leftChars="0" w:firstLine="0" w:firstLineChars="0"/>
              <w:jc w:val="center"/>
              <w:textAlignment w:val="auto"/>
              <w:rPr>
                <w:rFonts w:hint="default" w:eastAsia="宋体"/>
                <w:color w:val="000000"/>
                <w:sz w:val="24"/>
                <w:szCs w:val="24"/>
                <w:highlight w:val="none"/>
                <w:lang w:val="en-US" w:eastAsia="zh-CN"/>
              </w:rPr>
            </w:pPr>
            <w:r>
              <w:rPr>
                <w:rFonts w:hint="eastAsia" w:eastAsia="宋体"/>
                <w:color w:val="000000"/>
                <w:sz w:val="24"/>
                <w:szCs w:val="24"/>
                <w:highlight w:val="none"/>
                <w:lang w:val="en-US" w:eastAsia="zh-CN"/>
              </w:rPr>
              <w:t>/</w:t>
            </w:r>
          </w:p>
        </w:tc>
      </w:tr>
      <w:tr w14:paraId="3ADAE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3" w:type="pct"/>
            <w:noWrap w:val="0"/>
            <w:vAlign w:val="center"/>
          </w:tcPr>
          <w:p w14:paraId="16695249">
            <w:pPr>
              <w:keepNext w:val="0"/>
              <w:keepLines w:val="0"/>
              <w:pageBreakBefore w:val="0"/>
              <w:kinsoku/>
              <w:wordWrap/>
              <w:overflowPunct/>
              <w:topLinePunct w:val="0"/>
              <w:autoSpaceDE w:val="0"/>
              <w:autoSpaceDN w:val="0"/>
              <w:bidi w:val="0"/>
              <w:adjustRightInd w:val="0"/>
              <w:snapToGrid w:val="0"/>
              <w:spacing w:line="240" w:lineRule="auto"/>
              <w:ind w:right="0" w:firstLine="0" w:firstLineChars="0"/>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规划及规划环境</w:t>
            </w:r>
          </w:p>
          <w:p w14:paraId="25EE98A6">
            <w:pPr>
              <w:keepNext w:val="0"/>
              <w:keepLines w:val="0"/>
              <w:pageBreakBefore w:val="0"/>
              <w:kinsoku/>
              <w:wordWrap/>
              <w:overflowPunct/>
              <w:topLinePunct w:val="0"/>
              <w:autoSpaceDE w:val="0"/>
              <w:autoSpaceDN w:val="0"/>
              <w:bidi w:val="0"/>
              <w:adjustRightInd w:val="0"/>
              <w:snapToGrid w:val="0"/>
              <w:spacing w:line="240" w:lineRule="auto"/>
              <w:ind w:right="0" w:firstLine="0" w:firstLineChars="0"/>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影响评价符合性分析</w:t>
            </w:r>
          </w:p>
        </w:tc>
        <w:tc>
          <w:tcPr>
            <w:tcW w:w="3856" w:type="pct"/>
            <w:gridSpan w:val="3"/>
            <w:noWrap w:val="0"/>
            <w:vAlign w:val="center"/>
          </w:tcPr>
          <w:p w14:paraId="7E41775D">
            <w:pPr>
              <w:pStyle w:val="9"/>
              <w:spacing w:line="360" w:lineRule="auto"/>
              <w:ind w:firstLine="0" w:firstLineChars="0"/>
              <w:rPr>
                <w:rFonts w:hint="default" w:ascii="Times New Roman" w:hAnsi="Times New Roman" w:eastAsia="宋体" w:cs="Times New Roman"/>
                <w:b/>
                <w:color w:val="000000"/>
                <w:kern w:val="2"/>
                <w:sz w:val="28"/>
                <w:szCs w:val="28"/>
                <w:highlight w:val="none"/>
                <w:lang w:val="en-US" w:eastAsia="zh-CN" w:bidi="ar-SA"/>
              </w:rPr>
            </w:pPr>
            <w:r>
              <w:rPr>
                <w:rFonts w:hint="default" w:ascii="Times New Roman" w:hAnsi="Times New Roman" w:eastAsia="宋体" w:cs="Times New Roman"/>
                <w:b/>
                <w:color w:val="000000"/>
                <w:kern w:val="2"/>
                <w:sz w:val="28"/>
                <w:szCs w:val="28"/>
                <w:highlight w:val="none"/>
                <w:lang w:val="en-US" w:eastAsia="zh-CN" w:bidi="ar-SA"/>
              </w:rPr>
              <w:t>1.1</w:t>
            </w:r>
            <w:r>
              <w:rPr>
                <w:rFonts w:hint="eastAsia" w:ascii="Times New Roman" w:hAnsi="Times New Roman" w:eastAsia="宋体" w:cs="Times New Roman"/>
                <w:b/>
                <w:color w:val="000000"/>
                <w:kern w:val="2"/>
                <w:sz w:val="28"/>
                <w:szCs w:val="28"/>
                <w:highlight w:val="none"/>
                <w:lang w:val="en-US" w:eastAsia="zh-CN" w:bidi="ar-SA"/>
              </w:rPr>
              <w:t>土地利用规划</w:t>
            </w:r>
            <w:r>
              <w:rPr>
                <w:rFonts w:hint="default" w:ascii="Times New Roman" w:hAnsi="Times New Roman" w:eastAsia="宋体" w:cs="Times New Roman"/>
                <w:b/>
                <w:color w:val="000000"/>
                <w:kern w:val="2"/>
                <w:sz w:val="28"/>
                <w:szCs w:val="28"/>
                <w:highlight w:val="none"/>
                <w:lang w:val="en-US" w:eastAsia="zh-CN" w:bidi="ar-SA"/>
              </w:rPr>
              <w:t>符合性分析</w:t>
            </w:r>
          </w:p>
          <w:p w14:paraId="7C8A9B59">
            <w:pPr>
              <w:pStyle w:val="9"/>
              <w:spacing w:line="360" w:lineRule="auto"/>
              <w:ind w:firstLine="480" w:firstLineChars="200"/>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color w:val="000000"/>
                <w:sz w:val="24"/>
                <w:szCs w:val="24"/>
                <w:highlight w:val="none"/>
              </w:rPr>
              <w:t>项目位于</w:t>
            </w:r>
            <w:r>
              <w:rPr>
                <w:rFonts w:hint="eastAsia" w:cs="Times New Roman"/>
                <w:color w:val="000000"/>
                <w:kern w:val="0"/>
                <w:sz w:val="24"/>
                <w:szCs w:val="24"/>
                <w:highlight w:val="none"/>
                <w:lang w:val="en-US" w:eastAsia="zh-CN" w:bidi="ar-SA"/>
              </w:rPr>
              <w:t>福建省泉州市鲤城区紫安路1号</w:t>
            </w:r>
            <w:r>
              <w:rPr>
                <w:rFonts w:hint="default" w:ascii="Times New Roman" w:hAnsi="Times New Roman" w:eastAsia="宋体" w:cs="Times New Roman"/>
                <w:b w:val="0"/>
                <w:bCs w:val="0"/>
                <w:color w:val="000000"/>
                <w:sz w:val="24"/>
                <w:szCs w:val="24"/>
                <w:highlight w:val="none"/>
              </w:rPr>
              <w:t>，</w:t>
            </w:r>
            <w:r>
              <w:rPr>
                <w:rFonts w:hint="default" w:ascii="Times New Roman" w:hAnsi="Times New Roman" w:eastAsia="宋体" w:cs="Times New Roman"/>
                <w:b w:val="0"/>
                <w:bCs w:val="0"/>
                <w:color w:val="000000"/>
                <w:sz w:val="24"/>
                <w:szCs w:val="24"/>
                <w:highlight w:val="none"/>
                <w:lang w:eastAsia="zh-CN"/>
              </w:rPr>
              <w:t>租赁</w:t>
            </w:r>
            <w:r>
              <w:rPr>
                <w:rFonts w:hint="eastAsia" w:ascii="Times New Roman" w:hAnsi="Times New Roman" w:eastAsia="宋体" w:cs="Times New Roman"/>
                <w:b w:val="0"/>
                <w:bCs w:val="0"/>
                <w:sz w:val="24"/>
                <w:szCs w:val="24"/>
                <w:highlight w:val="none"/>
                <w:lang w:eastAsia="zh-CN"/>
              </w:rPr>
              <w:t>泉州达利彩印有限公司</w:t>
            </w:r>
            <w:r>
              <w:rPr>
                <w:rFonts w:hint="eastAsia" w:ascii="Times New Roman" w:hAnsi="Times New Roman" w:eastAsia="宋体" w:cs="Times New Roman"/>
                <w:b w:val="0"/>
                <w:bCs w:val="0"/>
                <w:sz w:val="24"/>
                <w:szCs w:val="24"/>
                <w:highlight w:val="none"/>
                <w:lang w:val="en-US" w:eastAsia="zh-CN"/>
              </w:rPr>
              <w:t>空置厂房及办公、宿舍楼</w:t>
            </w:r>
            <w:r>
              <w:rPr>
                <w:rFonts w:hint="default" w:ascii="Times New Roman" w:hAnsi="Times New Roman" w:eastAsia="宋体" w:cs="Times New Roman"/>
                <w:b w:val="0"/>
                <w:bCs w:val="0"/>
                <w:sz w:val="24"/>
                <w:szCs w:val="24"/>
                <w:highlight w:val="none"/>
                <w:lang w:val="en-US" w:eastAsia="zh-CN"/>
              </w:rPr>
              <w:t>作为生产经营场所</w:t>
            </w:r>
            <w:r>
              <w:rPr>
                <w:rFonts w:hint="default" w:ascii="Times New Roman" w:hAnsi="Times New Roman" w:eastAsia="宋体" w:cs="Times New Roman"/>
                <w:b w:val="0"/>
                <w:bCs w:val="0"/>
                <w:sz w:val="24"/>
                <w:szCs w:val="24"/>
                <w:highlight w:val="none"/>
                <w:lang w:eastAsia="zh-CN"/>
              </w:rPr>
              <w:t>，根据出租方提供的</w:t>
            </w:r>
            <w:r>
              <w:rPr>
                <w:rFonts w:hint="eastAsia" w:ascii="Times New Roman" w:hAnsi="Times New Roman" w:eastAsia="宋体" w:cs="Times New Roman"/>
                <w:b w:val="0"/>
                <w:bCs w:val="0"/>
                <w:sz w:val="24"/>
                <w:szCs w:val="24"/>
                <w:highlight w:val="none"/>
                <w:lang w:eastAsia="zh-CN"/>
              </w:rPr>
              <w:t>土地</w:t>
            </w:r>
            <w:r>
              <w:rPr>
                <w:rFonts w:hint="default" w:ascii="Times New Roman" w:hAnsi="Times New Roman" w:eastAsia="宋体" w:cs="Times New Roman"/>
                <w:b w:val="0"/>
                <w:bCs w:val="0"/>
                <w:sz w:val="24"/>
                <w:szCs w:val="24"/>
                <w:highlight w:val="none"/>
                <w:lang w:eastAsia="zh-CN"/>
              </w:rPr>
              <w:t>证</w:t>
            </w: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eastAsia="zh-CN"/>
              </w:rPr>
              <w:t>证号：</w:t>
            </w:r>
            <w:r>
              <w:rPr>
                <w:rFonts w:hint="eastAsia" w:ascii="Times New Roman" w:hAnsi="Times New Roman" w:eastAsia="宋体" w:cs="Times New Roman"/>
                <w:b w:val="0"/>
                <w:bCs w:val="0"/>
                <w:sz w:val="24"/>
                <w:szCs w:val="24"/>
                <w:highlight w:val="none"/>
                <w:u w:val="single"/>
                <w:lang w:eastAsia="zh-CN"/>
              </w:rPr>
              <w:t>泉</w:t>
            </w:r>
            <w:r>
              <w:rPr>
                <w:rFonts w:hint="eastAsia" w:ascii="Times New Roman" w:hAnsi="Times New Roman" w:eastAsia="宋体" w:cs="Times New Roman"/>
                <w:b w:val="0"/>
                <w:bCs w:val="0"/>
                <w:sz w:val="24"/>
                <w:szCs w:val="24"/>
                <w:highlight w:val="none"/>
                <w:lang w:eastAsia="zh-CN"/>
              </w:rPr>
              <w:t>国用（</w:t>
            </w:r>
            <w:r>
              <w:rPr>
                <w:rFonts w:hint="eastAsia" w:ascii="Times New Roman" w:hAnsi="Times New Roman" w:eastAsia="宋体" w:cs="Times New Roman"/>
                <w:b w:val="0"/>
                <w:bCs w:val="0"/>
                <w:sz w:val="24"/>
                <w:szCs w:val="24"/>
                <w:highlight w:val="none"/>
                <w:lang w:val="en-US" w:eastAsia="zh-CN"/>
              </w:rPr>
              <w:t>2006</w:t>
            </w:r>
            <w:r>
              <w:rPr>
                <w:rFonts w:hint="eastAsia" w:ascii="Times New Roman" w:hAnsi="Times New Roman" w:eastAsia="宋体" w:cs="Times New Roman"/>
                <w:b w:val="0"/>
                <w:bCs w:val="0"/>
                <w:sz w:val="24"/>
                <w:szCs w:val="24"/>
                <w:highlight w:val="none"/>
                <w:lang w:eastAsia="zh-CN"/>
              </w:rPr>
              <w:t>）第</w:t>
            </w:r>
            <w:r>
              <w:rPr>
                <w:rFonts w:hint="eastAsia" w:ascii="Times New Roman" w:hAnsi="Times New Roman" w:eastAsia="宋体" w:cs="Times New Roman"/>
                <w:b w:val="0"/>
                <w:bCs w:val="0"/>
                <w:sz w:val="24"/>
                <w:szCs w:val="24"/>
                <w:highlight w:val="none"/>
                <w:u w:val="single"/>
                <w:lang w:val="en-US" w:eastAsia="zh-CN"/>
              </w:rPr>
              <w:t>100172</w:t>
            </w:r>
            <w:r>
              <w:rPr>
                <w:rFonts w:hint="default" w:ascii="Times New Roman" w:hAnsi="Times New Roman" w:eastAsia="宋体" w:cs="Times New Roman"/>
                <w:b w:val="0"/>
                <w:bCs w:val="0"/>
                <w:sz w:val="24"/>
                <w:szCs w:val="24"/>
                <w:highlight w:val="none"/>
              </w:rPr>
              <w:t>号</w:t>
            </w:r>
            <w:r>
              <w:rPr>
                <w:rFonts w:hint="default" w:ascii="Times New Roman" w:hAnsi="Times New Roman" w:eastAsia="宋体" w:cs="Times New Roman"/>
                <w:b w:val="0"/>
                <w:bCs w:val="0"/>
                <w:sz w:val="24"/>
                <w:szCs w:val="24"/>
                <w:highlight w:val="none"/>
                <w:lang w:eastAsia="zh-CN"/>
              </w:rPr>
              <w:t>，该地块</w:t>
            </w:r>
            <w:r>
              <w:rPr>
                <w:rFonts w:hint="default" w:ascii="Times New Roman" w:hAnsi="Times New Roman" w:eastAsia="宋体" w:cs="Times New Roman"/>
                <w:b w:val="0"/>
                <w:bCs w:val="0"/>
                <w:sz w:val="24"/>
                <w:szCs w:val="24"/>
                <w:highlight w:val="none"/>
                <w:lang w:val="en-US" w:eastAsia="zh-CN"/>
              </w:rPr>
              <w:t>土地</w:t>
            </w:r>
            <w:r>
              <w:rPr>
                <w:rFonts w:hint="eastAsia" w:ascii="Times New Roman" w:hAnsi="Times New Roman" w:eastAsia="宋体" w:cs="Times New Roman"/>
                <w:b w:val="0"/>
                <w:bCs w:val="0"/>
                <w:sz w:val="24"/>
                <w:szCs w:val="24"/>
                <w:highlight w:val="none"/>
                <w:lang w:val="en-US" w:eastAsia="zh-CN"/>
              </w:rPr>
              <w:t>规划</w:t>
            </w:r>
            <w:r>
              <w:rPr>
                <w:rFonts w:hint="default" w:ascii="Times New Roman" w:hAnsi="Times New Roman" w:eastAsia="宋体" w:cs="Times New Roman"/>
                <w:b w:val="0"/>
                <w:bCs w:val="0"/>
                <w:sz w:val="24"/>
                <w:szCs w:val="24"/>
                <w:highlight w:val="none"/>
                <w:lang w:eastAsia="zh-CN"/>
              </w:rPr>
              <w:t>用途为工业用地</w:t>
            </w:r>
            <w:r>
              <w:rPr>
                <w:rFonts w:hint="default" w:ascii="Times New Roman" w:hAnsi="Times New Roman" w:eastAsia="宋体" w:cs="Times New Roman"/>
                <w:b w:val="0"/>
                <w:bCs w:val="0"/>
                <w:sz w:val="24"/>
                <w:szCs w:val="24"/>
                <w:highlight w:val="none"/>
              </w:rPr>
              <w:t>。</w:t>
            </w:r>
          </w:p>
          <w:p w14:paraId="3BCF6D84">
            <w:pPr>
              <w:pStyle w:val="9"/>
              <w:spacing w:line="360" w:lineRule="auto"/>
              <w:ind w:firstLine="480" w:firstLineChars="200"/>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eastAsia="zh-CN"/>
              </w:rPr>
              <w:t>根据</w:t>
            </w:r>
            <w:r>
              <w:rPr>
                <w:rFonts w:hint="default" w:ascii="Times New Roman" w:hAnsi="Times New Roman" w:eastAsia="宋体" w:cs="Times New Roman"/>
                <w:b w:val="0"/>
                <w:bCs w:val="0"/>
                <w:color w:val="000000"/>
                <w:sz w:val="24"/>
                <w:szCs w:val="24"/>
                <w:highlight w:val="none"/>
                <w:lang w:val="en-US" w:eastAsia="zh-CN"/>
              </w:rPr>
              <w:t>《</w:t>
            </w:r>
            <w:r>
              <w:rPr>
                <w:rFonts w:hint="eastAsia" w:ascii="Times New Roman" w:hAnsi="Times New Roman" w:eastAsia="宋体" w:cs="Times New Roman"/>
                <w:b w:val="0"/>
                <w:bCs w:val="0"/>
                <w:color w:val="000000"/>
                <w:sz w:val="24"/>
                <w:szCs w:val="24"/>
                <w:highlight w:val="none"/>
                <w:lang w:val="en-US" w:eastAsia="zh-CN"/>
              </w:rPr>
              <w:t>泉州市江南新区控制性详细规划修编</w:t>
            </w:r>
            <w:r>
              <w:rPr>
                <w:rFonts w:hint="default" w:ascii="Times New Roman" w:hAnsi="Times New Roman" w:eastAsia="宋体" w:cs="Times New Roman"/>
                <w:b w:val="0"/>
                <w:bCs w:val="0"/>
                <w:color w:val="000000"/>
                <w:sz w:val="24"/>
                <w:szCs w:val="24"/>
                <w:highlight w:val="none"/>
                <w:lang w:val="en-US" w:eastAsia="zh-CN"/>
              </w:rPr>
              <w:t>》（详见附图</w:t>
            </w:r>
            <w:r>
              <w:rPr>
                <w:rFonts w:hint="eastAsia" w:ascii="Times New Roman" w:hAnsi="Times New Roman" w:eastAsia="宋体" w:cs="Times New Roman"/>
                <w:b w:val="0"/>
                <w:bCs w:val="0"/>
                <w:color w:val="000000"/>
                <w:sz w:val="24"/>
                <w:szCs w:val="24"/>
                <w:highlight w:val="none"/>
                <w:lang w:val="en-US" w:eastAsia="zh-CN"/>
              </w:rPr>
              <w:t>6</w:t>
            </w:r>
            <w:r>
              <w:rPr>
                <w:rFonts w:hint="default" w:ascii="Times New Roman" w:hAnsi="Times New Roman" w:eastAsia="宋体" w:cs="Times New Roman"/>
                <w:b w:val="0"/>
                <w:bCs w:val="0"/>
                <w:color w:val="000000"/>
                <w:sz w:val="24"/>
                <w:szCs w:val="24"/>
                <w:highlight w:val="none"/>
                <w:lang w:val="en-US" w:eastAsia="zh-CN"/>
              </w:rPr>
              <w:t>），项目</w:t>
            </w:r>
            <w:r>
              <w:rPr>
                <w:rFonts w:hint="eastAsia" w:ascii="Times New Roman" w:hAnsi="Times New Roman" w:eastAsia="宋体" w:cs="Times New Roman"/>
                <w:b w:val="0"/>
                <w:bCs w:val="0"/>
                <w:color w:val="000000"/>
                <w:sz w:val="24"/>
                <w:szCs w:val="24"/>
                <w:highlight w:val="none"/>
                <w:lang w:val="en-US" w:eastAsia="zh-CN"/>
              </w:rPr>
              <w:t>所在厂房用地规划为工业用地</w:t>
            </w:r>
            <w:r>
              <w:rPr>
                <w:rFonts w:hint="default" w:ascii="Times New Roman" w:hAnsi="Times New Roman" w:eastAsia="宋体" w:cs="Times New Roman"/>
                <w:b w:val="0"/>
                <w:bCs w:val="0"/>
                <w:color w:val="000000"/>
                <w:sz w:val="24"/>
                <w:szCs w:val="24"/>
                <w:highlight w:val="none"/>
                <w:lang w:val="en-US" w:eastAsia="zh-CN"/>
              </w:rPr>
              <w:t>，不在基本农田保护区和林业用地范围内，项目建设符合</w:t>
            </w:r>
            <w:r>
              <w:rPr>
                <w:rFonts w:hint="eastAsia" w:ascii="Times New Roman" w:hAnsi="Times New Roman" w:eastAsia="宋体" w:cs="Times New Roman"/>
                <w:b w:val="0"/>
                <w:bCs w:val="0"/>
                <w:color w:val="000000"/>
                <w:sz w:val="24"/>
                <w:szCs w:val="24"/>
                <w:highlight w:val="none"/>
                <w:lang w:val="en-US" w:eastAsia="zh-CN"/>
              </w:rPr>
              <w:t>泉州市江南新区控制性详细规划要求</w:t>
            </w:r>
            <w:r>
              <w:rPr>
                <w:rFonts w:hint="default" w:ascii="Times New Roman" w:hAnsi="Times New Roman" w:eastAsia="宋体" w:cs="Times New Roman"/>
                <w:b w:val="0"/>
                <w:bCs w:val="0"/>
                <w:color w:val="auto"/>
                <w:sz w:val="24"/>
                <w:szCs w:val="24"/>
                <w:highlight w:val="none"/>
                <w:lang w:eastAsia="zh-CN"/>
              </w:rPr>
              <w:t>。</w:t>
            </w:r>
          </w:p>
        </w:tc>
      </w:tr>
      <w:tr w14:paraId="25C05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34" w:hRule="atLeast"/>
          <w:jc w:val="center"/>
        </w:trPr>
        <w:tc>
          <w:tcPr>
            <w:tcW w:w="1143" w:type="pct"/>
            <w:noWrap w:val="0"/>
            <w:vAlign w:val="center"/>
          </w:tcPr>
          <w:p w14:paraId="310CC6EF">
            <w:pPr>
              <w:keepNext w:val="0"/>
              <w:keepLines w:val="0"/>
              <w:pageBreakBefore w:val="0"/>
              <w:kinsoku/>
              <w:wordWrap/>
              <w:overflowPunct/>
              <w:topLinePunct w:val="0"/>
              <w:autoSpaceDE w:val="0"/>
              <w:autoSpaceDN w:val="0"/>
              <w:bidi w:val="0"/>
              <w:adjustRightInd w:val="0"/>
              <w:snapToGrid w:val="0"/>
              <w:spacing w:line="240" w:lineRule="auto"/>
              <w:ind w:right="0" w:firstLine="0" w:firstLineChars="0"/>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其他符合性分析</w:t>
            </w:r>
          </w:p>
        </w:tc>
        <w:tc>
          <w:tcPr>
            <w:tcW w:w="3856" w:type="pct"/>
            <w:gridSpan w:val="3"/>
            <w:noWrap w:val="0"/>
            <w:vAlign w:val="center"/>
          </w:tcPr>
          <w:p w14:paraId="5075ECF5">
            <w:pPr>
              <w:pStyle w:val="56"/>
              <w:keepNext w:val="0"/>
              <w:keepLines w:val="0"/>
              <w:pageBreakBefore w:val="0"/>
              <w:widowControl w:val="0"/>
              <w:kinsoku/>
              <w:wordWrap/>
              <w:overflowPunct/>
              <w:topLinePunct w:val="0"/>
              <w:autoSpaceDE/>
              <w:autoSpaceDN/>
              <w:bidi w:val="0"/>
              <w:adjustRightInd w:val="0"/>
              <w:snapToGrid w:val="0"/>
              <w:spacing w:before="157" w:beforeLines="50" w:after="0" w:afterLines="0" w:line="360" w:lineRule="auto"/>
              <w:textAlignment w:val="auto"/>
              <w:outlineLvl w:val="1"/>
              <w:rPr>
                <w:rFonts w:hint="default" w:ascii="Times New Roman" w:hAnsi="Times New Roman" w:eastAsia="宋体" w:cs="Times New Roman"/>
                <w:color w:val="000000"/>
                <w:sz w:val="28"/>
                <w:szCs w:val="28"/>
                <w:highlight w:val="none"/>
                <w:lang w:eastAsia="zh-CN"/>
              </w:rPr>
            </w:pPr>
            <w:r>
              <w:rPr>
                <w:rFonts w:hint="default" w:ascii="Times New Roman" w:hAnsi="Times New Roman" w:eastAsia="宋体" w:cs="Times New Roman"/>
                <w:color w:val="000000"/>
                <w:sz w:val="28"/>
                <w:szCs w:val="28"/>
                <w:highlight w:val="none"/>
                <w:lang w:val="en-US" w:eastAsia="zh-CN"/>
              </w:rPr>
              <w:t>1</w:t>
            </w:r>
            <w:r>
              <w:rPr>
                <w:rFonts w:hint="default" w:ascii="Times New Roman" w:hAnsi="Times New Roman" w:eastAsia="宋体" w:cs="Times New Roman"/>
                <w:color w:val="000000"/>
                <w:sz w:val="28"/>
                <w:szCs w:val="28"/>
                <w:highlight w:val="none"/>
              </w:rPr>
              <w:t>.</w:t>
            </w:r>
            <w:r>
              <w:rPr>
                <w:rFonts w:hint="eastAsia" w:ascii="Times New Roman" w:hAnsi="Times New Roman" w:eastAsia="宋体" w:cs="Times New Roman"/>
                <w:color w:val="000000"/>
                <w:sz w:val="28"/>
                <w:szCs w:val="28"/>
                <w:highlight w:val="none"/>
                <w:lang w:val="en-US" w:eastAsia="zh-CN"/>
              </w:rPr>
              <w:t>2</w:t>
            </w:r>
            <w:r>
              <w:rPr>
                <w:rFonts w:hint="default" w:ascii="Times New Roman" w:hAnsi="Times New Roman" w:eastAsia="宋体" w:cs="Times New Roman"/>
                <w:color w:val="000000"/>
                <w:sz w:val="28"/>
                <w:szCs w:val="28"/>
                <w:highlight w:val="none"/>
                <w:lang w:eastAsia="zh-CN"/>
              </w:rPr>
              <w:t>项目“三线一单”符合性分析</w:t>
            </w:r>
          </w:p>
          <w:p w14:paraId="7A573EAE">
            <w:pPr>
              <w:pStyle w:val="54"/>
              <w:keepNext w:val="0"/>
              <w:keepLines w:val="0"/>
              <w:pageBreakBefore w:val="0"/>
              <w:kinsoku/>
              <w:wordWrap/>
              <w:overflowPunct/>
              <w:topLinePunct w:val="0"/>
              <w:autoSpaceDE/>
              <w:autoSpaceDN/>
              <w:bidi w:val="0"/>
              <w:adjustRightInd w:val="0"/>
              <w:snapToGrid w:val="0"/>
              <w:spacing w:line="360" w:lineRule="auto"/>
              <w:ind w:right="0"/>
              <w:jc w:val="both"/>
              <w:outlineLvl w:val="2"/>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①与生态红线相符合性分析</w:t>
            </w:r>
          </w:p>
          <w:p w14:paraId="01C6172D">
            <w:pPr>
              <w:pStyle w:val="60"/>
              <w:keepNext w:val="0"/>
              <w:keepLines w:val="0"/>
              <w:pageBreakBefore w:val="0"/>
              <w:widowControl w:val="0"/>
              <w:kinsoku/>
              <w:wordWrap/>
              <w:overflowPunct/>
              <w:topLinePunct w:val="0"/>
              <w:autoSpaceDE/>
              <w:autoSpaceDN/>
              <w:bidi w:val="0"/>
              <w:spacing w:line="360" w:lineRule="auto"/>
              <w:ind w:right="0" w:firstLine="480" w:firstLineChars="200"/>
              <w:jc w:val="both"/>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对照《福建省生态保护红线划定方案》及其调整方案，项目选址于</w:t>
            </w:r>
            <w:r>
              <w:rPr>
                <w:rFonts w:hint="eastAsia" w:cs="Times New Roman"/>
                <w:color w:val="000000"/>
                <w:kern w:val="0"/>
                <w:sz w:val="24"/>
                <w:szCs w:val="24"/>
                <w:highlight w:val="none"/>
                <w:lang w:val="en-US" w:eastAsia="zh-CN" w:bidi="ar-SA"/>
              </w:rPr>
              <w:t>福建省泉州市鲤城区紫安路1号</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eastAsia="zh-CN"/>
              </w:rPr>
              <w:t>用地性质属于工业用地，</w:t>
            </w:r>
            <w:r>
              <w:rPr>
                <w:rFonts w:hint="default" w:ascii="Times New Roman" w:hAnsi="Times New Roman" w:eastAsia="宋体" w:cs="Times New Roman"/>
                <w:sz w:val="24"/>
                <w:szCs w:val="24"/>
                <w:highlight w:val="none"/>
              </w:rPr>
              <w:t xml:space="preserve">项目不在自然保护区、风景名胜区、饮用水源保护地和其他需要特别保护等法律法规禁止开发建设的区域。因此，项目建设符合生态红线控制要求。 </w:t>
            </w:r>
          </w:p>
          <w:p w14:paraId="631779EA">
            <w:pPr>
              <w:pStyle w:val="54"/>
              <w:keepNext w:val="0"/>
              <w:keepLines w:val="0"/>
              <w:pageBreakBefore w:val="0"/>
              <w:kinsoku/>
              <w:wordWrap/>
              <w:overflowPunct/>
              <w:topLinePunct w:val="0"/>
              <w:autoSpaceDE/>
              <w:autoSpaceDN/>
              <w:bidi w:val="0"/>
              <w:adjustRightInd w:val="0"/>
              <w:snapToGrid w:val="0"/>
              <w:spacing w:line="360" w:lineRule="auto"/>
              <w:ind w:right="0"/>
              <w:jc w:val="both"/>
              <w:outlineLvl w:val="2"/>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②与环境质量底线相符合性分析</w:t>
            </w:r>
          </w:p>
          <w:p w14:paraId="54F7DCF3">
            <w:pPr>
              <w:pStyle w:val="16"/>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项目所在区域的环境质量底线为：环境空气质量目标为</w:t>
            </w:r>
            <w:r>
              <w:rPr>
                <w:rFonts w:hint="default" w:ascii="Times New Roman" w:hAnsi="Times New Roman" w:eastAsia="宋体" w:cs="Times New Roman"/>
                <w:color w:val="000000"/>
                <w:sz w:val="24"/>
                <w:szCs w:val="24"/>
                <w:highlight w:val="none"/>
              </w:rPr>
              <w:t>GB3095-2012《环境空气质量标准》</w:t>
            </w:r>
            <w:r>
              <w:rPr>
                <w:rFonts w:hint="default" w:ascii="Times New Roman" w:hAnsi="Times New Roman" w:eastAsia="宋体" w:cs="Times New Roman"/>
                <w:color w:val="000000"/>
                <w:sz w:val="24"/>
                <w:szCs w:val="24"/>
                <w:highlight w:val="none"/>
                <w:lang w:eastAsia="zh-CN"/>
              </w:rPr>
              <w:t>及其修改单</w:t>
            </w:r>
            <w:r>
              <w:rPr>
                <w:rFonts w:hint="default" w:ascii="Times New Roman" w:hAnsi="Times New Roman" w:eastAsia="宋体" w:cs="Times New Roman"/>
                <w:color w:val="000000"/>
                <w:sz w:val="24"/>
                <w:szCs w:val="24"/>
                <w:highlight w:val="none"/>
              </w:rPr>
              <w:t>中二级标准</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eastAsia="zh-CN"/>
              </w:rPr>
              <w:t>水环境质量目标为</w:t>
            </w:r>
            <w:r>
              <w:rPr>
                <w:rFonts w:hint="default" w:ascii="Times New Roman" w:hAnsi="Times New Roman" w:eastAsia="宋体" w:cs="Times New Roman"/>
                <w:b w:val="0"/>
                <w:bCs/>
                <w:color w:val="000000"/>
                <w:sz w:val="24"/>
                <w:szCs w:val="24"/>
                <w:highlight w:val="none"/>
              </w:rPr>
              <w:t>GB3097-1997《海水水质标准》</w:t>
            </w:r>
            <w:r>
              <w:rPr>
                <w:rFonts w:hint="eastAsia" w:ascii="Times New Roman" w:hAnsi="Times New Roman" w:eastAsia="宋体" w:cs="Times New Roman"/>
                <w:b w:val="0"/>
                <w:bCs/>
                <w:color w:val="000000"/>
                <w:sz w:val="24"/>
                <w:szCs w:val="24"/>
                <w:highlight w:val="none"/>
                <w:lang w:eastAsia="zh-CN"/>
              </w:rPr>
              <w:t>三</w:t>
            </w:r>
            <w:r>
              <w:rPr>
                <w:rFonts w:hint="default" w:ascii="Times New Roman" w:hAnsi="Times New Roman" w:eastAsia="宋体" w:cs="Times New Roman"/>
                <w:b w:val="0"/>
                <w:bCs/>
                <w:color w:val="000000"/>
                <w:sz w:val="24"/>
                <w:szCs w:val="24"/>
                <w:highlight w:val="none"/>
              </w:rPr>
              <w:t>类水质标准</w:t>
            </w:r>
            <w:r>
              <w:rPr>
                <w:rFonts w:hint="eastAsia" w:ascii="Times New Roman" w:hAnsi="Times New Roman" w:eastAsia="宋体" w:cs="Times New Roman"/>
                <w:b w:val="0"/>
                <w:bCs/>
                <w:color w:val="000000"/>
                <w:sz w:val="24"/>
                <w:szCs w:val="24"/>
                <w:highlight w:val="none"/>
                <w:lang w:eastAsia="zh-CN"/>
              </w:rPr>
              <w:t>；项目区域</w:t>
            </w:r>
            <w:r>
              <w:rPr>
                <w:rFonts w:hint="default" w:ascii="Times New Roman" w:hAnsi="Times New Roman" w:eastAsia="宋体" w:cs="Times New Roman"/>
                <w:b w:val="0"/>
                <w:bCs/>
                <w:color w:val="000000"/>
                <w:sz w:val="24"/>
                <w:szCs w:val="24"/>
                <w:highlight w:val="none"/>
                <w:lang w:eastAsia="zh-CN"/>
              </w:rPr>
              <w:t>声环境质量目标为</w:t>
            </w:r>
            <w:r>
              <w:rPr>
                <w:rFonts w:hint="default" w:ascii="Times New Roman" w:hAnsi="Times New Roman" w:eastAsia="宋体" w:cs="Times New Roman"/>
                <w:color w:val="000000"/>
                <w:sz w:val="24"/>
                <w:szCs w:val="24"/>
                <w:highlight w:val="none"/>
              </w:rPr>
              <w:t>GB3096-2008《声环境质量标准》</w:t>
            </w:r>
            <w:r>
              <w:rPr>
                <w:rFonts w:hint="eastAsia"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类标准</w:t>
            </w:r>
            <w:r>
              <w:rPr>
                <w:rFonts w:hint="default" w:ascii="Times New Roman" w:hAnsi="Times New Roman" w:eastAsia="宋体" w:cs="Times New Roman"/>
                <w:color w:val="000000"/>
                <w:sz w:val="24"/>
                <w:szCs w:val="24"/>
                <w:highlight w:val="none"/>
                <w:lang w:eastAsia="zh-CN"/>
              </w:rPr>
              <w:t>。</w:t>
            </w:r>
          </w:p>
          <w:p w14:paraId="768DE1A3">
            <w:pPr>
              <w:pStyle w:val="16"/>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rPr>
              <w:t>项目生产废水、生活污水分别经预处理达标后，接入市政污水管网排入</w:t>
            </w:r>
            <w:r>
              <w:rPr>
                <w:rFonts w:hint="eastAsia" w:ascii="Times New Roman" w:hAnsi="Times New Roman" w:eastAsia="宋体" w:cs="Times New Roman"/>
                <w:color w:val="000000"/>
                <w:sz w:val="24"/>
                <w:szCs w:val="24"/>
                <w:highlight w:val="none"/>
                <w:lang w:eastAsia="zh-CN"/>
              </w:rPr>
              <w:t>晋江仙石</w:t>
            </w:r>
            <w:r>
              <w:rPr>
                <w:rFonts w:hint="default" w:ascii="Times New Roman" w:hAnsi="Times New Roman" w:eastAsia="宋体" w:cs="Times New Roman"/>
                <w:color w:val="000000"/>
                <w:spacing w:val="2"/>
                <w:sz w:val="24"/>
                <w:szCs w:val="24"/>
                <w:highlight w:val="none"/>
              </w:rPr>
              <w:t>污水处理厂</w:t>
            </w:r>
            <w:r>
              <w:rPr>
                <w:rFonts w:hint="default" w:ascii="Times New Roman" w:hAnsi="Times New Roman" w:eastAsia="宋体" w:cs="Times New Roman"/>
                <w:color w:val="000000"/>
                <w:spacing w:val="2"/>
                <w:sz w:val="24"/>
                <w:szCs w:val="24"/>
                <w:highlight w:val="none"/>
                <w:lang w:eastAsia="zh-CN"/>
              </w:rPr>
              <w:t>统一处理，</w:t>
            </w:r>
            <w:r>
              <w:rPr>
                <w:rFonts w:hint="default" w:ascii="Times New Roman" w:hAnsi="Times New Roman" w:eastAsia="宋体" w:cs="Times New Roman"/>
                <w:color w:val="000000"/>
                <w:sz w:val="24"/>
                <w:szCs w:val="24"/>
                <w:highlight w:val="none"/>
              </w:rPr>
              <w:t>对区域水环境质量影响较小</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项目</w:t>
            </w:r>
            <w:r>
              <w:rPr>
                <w:rFonts w:hint="default" w:ascii="Times New Roman" w:hAnsi="Times New Roman" w:eastAsia="宋体" w:cs="Times New Roman"/>
                <w:color w:val="000000"/>
                <w:sz w:val="24"/>
                <w:szCs w:val="24"/>
                <w:highlight w:val="none"/>
                <w:lang w:eastAsia="zh-CN"/>
              </w:rPr>
              <w:t>生产废气</w:t>
            </w:r>
            <w:r>
              <w:rPr>
                <w:rFonts w:hint="default" w:ascii="Times New Roman" w:hAnsi="Times New Roman" w:eastAsia="宋体" w:cs="Times New Roman"/>
                <w:color w:val="000000"/>
                <w:sz w:val="24"/>
                <w:szCs w:val="24"/>
                <w:highlight w:val="none"/>
              </w:rPr>
              <w:t>经过采取各项污染防治措施后</w:t>
            </w:r>
            <w:r>
              <w:rPr>
                <w:rFonts w:hint="default" w:ascii="Times New Roman" w:hAnsi="Times New Roman" w:eastAsia="宋体" w:cs="Times New Roman"/>
                <w:color w:val="000000"/>
                <w:sz w:val="24"/>
                <w:szCs w:val="24"/>
                <w:highlight w:val="none"/>
                <w:lang w:eastAsia="zh-CN"/>
              </w:rPr>
              <w:t>可达标排放，</w:t>
            </w:r>
            <w:r>
              <w:rPr>
                <w:rFonts w:hint="default" w:ascii="Times New Roman" w:hAnsi="Times New Roman" w:eastAsia="宋体" w:cs="Times New Roman"/>
                <w:color w:val="000000"/>
                <w:sz w:val="24"/>
                <w:szCs w:val="24"/>
                <w:highlight w:val="none"/>
              </w:rPr>
              <w:t>项目污染物的排放不会对区域环境质量造成冲击</w:t>
            </w:r>
            <w:r>
              <w:rPr>
                <w:rFonts w:hint="default" w:ascii="Times New Roman" w:hAnsi="Times New Roman" w:eastAsia="宋体" w:cs="Times New Roman"/>
                <w:color w:val="000000"/>
                <w:sz w:val="24"/>
                <w:szCs w:val="24"/>
                <w:highlight w:val="none"/>
                <w:lang w:eastAsia="zh-CN"/>
              </w:rPr>
              <w:t>影响；</w:t>
            </w:r>
            <w:r>
              <w:rPr>
                <w:rFonts w:hint="default" w:ascii="Times New Roman" w:hAnsi="Times New Roman" w:eastAsia="宋体" w:cs="Times New Roman"/>
                <w:color w:val="000000"/>
                <w:sz w:val="24"/>
                <w:szCs w:val="24"/>
                <w:highlight w:val="none"/>
              </w:rPr>
              <w:t>项目生产设备采取相应的减振、隔声措施后，能够实现达标排放，对周围</w:t>
            </w:r>
            <w:r>
              <w:rPr>
                <w:rFonts w:hint="default" w:ascii="Times New Roman" w:hAnsi="Times New Roman" w:eastAsia="宋体" w:cs="Times New Roman"/>
                <w:color w:val="000000"/>
                <w:sz w:val="24"/>
                <w:szCs w:val="24"/>
                <w:highlight w:val="none"/>
                <w:lang w:eastAsia="zh-CN"/>
              </w:rPr>
              <w:t>声</w:t>
            </w:r>
            <w:r>
              <w:rPr>
                <w:rFonts w:hint="default" w:ascii="Times New Roman" w:hAnsi="Times New Roman" w:eastAsia="宋体" w:cs="Times New Roman"/>
                <w:color w:val="000000"/>
                <w:sz w:val="24"/>
                <w:szCs w:val="24"/>
                <w:highlight w:val="none"/>
              </w:rPr>
              <w:t>环境影响不大</w:t>
            </w:r>
            <w:r>
              <w:rPr>
                <w:rFonts w:hint="default" w:ascii="Times New Roman" w:hAnsi="Times New Roman" w:eastAsia="宋体" w:cs="Times New Roman"/>
                <w:color w:val="000000"/>
                <w:sz w:val="24"/>
                <w:szCs w:val="24"/>
                <w:highlight w:val="none"/>
                <w:lang w:eastAsia="zh-CN"/>
              </w:rPr>
              <w:t>。</w:t>
            </w:r>
          </w:p>
          <w:p w14:paraId="6AC4AD36">
            <w:pPr>
              <w:pStyle w:val="16"/>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eastAsia="zh-CN"/>
              </w:rPr>
              <w:t>综上分析</w:t>
            </w:r>
            <w:r>
              <w:rPr>
                <w:rFonts w:hint="default" w:ascii="Times New Roman" w:hAnsi="Times New Roman" w:eastAsia="宋体" w:cs="Times New Roman"/>
                <w:color w:val="000000"/>
                <w:sz w:val="24"/>
                <w:szCs w:val="24"/>
                <w:highlight w:val="none"/>
              </w:rPr>
              <w:t>，项目所在区域环境质量现状良好，项目建设</w:t>
            </w:r>
            <w:r>
              <w:rPr>
                <w:rFonts w:hint="default" w:ascii="Times New Roman" w:hAnsi="Times New Roman" w:eastAsia="宋体" w:cs="Times New Roman"/>
                <w:color w:val="000000"/>
                <w:sz w:val="24"/>
                <w:szCs w:val="24"/>
                <w:highlight w:val="none"/>
                <w:lang w:eastAsia="zh-CN"/>
              </w:rPr>
              <w:t>不会突破当地环境质量底线</w:t>
            </w:r>
            <w:r>
              <w:rPr>
                <w:rFonts w:hint="default" w:ascii="Times New Roman" w:hAnsi="Times New Roman" w:eastAsia="宋体" w:cs="Times New Roman"/>
                <w:color w:val="000000"/>
                <w:sz w:val="24"/>
                <w:szCs w:val="24"/>
                <w:highlight w:val="none"/>
              </w:rPr>
              <w:t>。</w:t>
            </w:r>
          </w:p>
          <w:p w14:paraId="3AAC91B2">
            <w:pPr>
              <w:pStyle w:val="54"/>
              <w:keepNext w:val="0"/>
              <w:keepLines w:val="0"/>
              <w:pageBreakBefore w:val="0"/>
              <w:kinsoku/>
              <w:wordWrap/>
              <w:overflowPunct/>
              <w:topLinePunct w:val="0"/>
              <w:autoSpaceDE/>
              <w:autoSpaceDN/>
              <w:bidi w:val="0"/>
              <w:adjustRightInd w:val="0"/>
              <w:snapToGrid w:val="0"/>
              <w:spacing w:line="360" w:lineRule="auto"/>
              <w:ind w:right="0"/>
              <w:jc w:val="both"/>
              <w:outlineLvl w:val="2"/>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③与资源利用上线的对照分析</w:t>
            </w:r>
          </w:p>
          <w:p w14:paraId="3281D6E3">
            <w:pPr>
              <w:keepNext w:val="0"/>
              <w:keepLines w:val="0"/>
              <w:pageBreakBefore w:val="0"/>
              <w:kinsoku/>
              <w:wordWrap/>
              <w:overflowPunct/>
              <w:topLinePunct w:val="0"/>
              <w:autoSpaceDE/>
              <w:autoSpaceDN/>
              <w:bidi w:val="0"/>
              <w:spacing w:line="360" w:lineRule="auto"/>
              <w:ind w:right="0"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本项目建设过程中所利用的资源主要为水资源</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电</w:t>
            </w:r>
            <w:r>
              <w:rPr>
                <w:rFonts w:hint="eastAsia" w:cs="Times New Roman"/>
                <w:color w:val="000000"/>
                <w:sz w:val="24"/>
                <w:szCs w:val="24"/>
                <w:highlight w:val="none"/>
                <w:lang w:eastAsia="zh-CN"/>
              </w:rPr>
              <w:t>和液化石油气</w:t>
            </w:r>
            <w:r>
              <w:rPr>
                <w:rFonts w:hint="default" w:ascii="Times New Roman" w:hAnsi="Times New Roman" w:eastAsia="宋体" w:cs="Times New Roman"/>
                <w:color w:val="000000"/>
                <w:sz w:val="24"/>
                <w:szCs w:val="24"/>
                <w:highlight w:val="none"/>
              </w:rPr>
              <w:t xml:space="preserve">，均为清洁能源，项目通过内部管理、设备选择、原辅材料的选用管理和污染治理等多方面采取合理可行的防治措施，以“节能、降耗、减污”为目标，有效的控制污染。项目的水、电等资源利用不会突破区域的资源利用上线。 </w:t>
            </w:r>
          </w:p>
          <w:p w14:paraId="6976D3C7">
            <w:pPr>
              <w:pStyle w:val="54"/>
              <w:keepNext w:val="0"/>
              <w:keepLines w:val="0"/>
              <w:pageBreakBefore w:val="0"/>
              <w:kinsoku/>
              <w:wordWrap/>
              <w:overflowPunct/>
              <w:topLinePunct w:val="0"/>
              <w:autoSpaceDE/>
              <w:autoSpaceDN/>
              <w:bidi w:val="0"/>
              <w:spacing w:line="360" w:lineRule="auto"/>
              <w:ind w:right="0"/>
              <w:jc w:val="both"/>
              <w:outlineLvl w:val="2"/>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④与环境准入负面清单的对照</w:t>
            </w:r>
          </w:p>
          <w:p w14:paraId="64B7F919">
            <w:pPr>
              <w:pStyle w:val="16"/>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对照</w:t>
            </w:r>
            <w:r>
              <w:rPr>
                <w:rFonts w:hint="default" w:ascii="Times New Roman" w:hAnsi="Times New Roman" w:eastAsia="宋体" w:cs="Times New Roman"/>
                <w:color w:val="000000"/>
                <w:sz w:val="24"/>
                <w:szCs w:val="24"/>
                <w:highlight w:val="none"/>
                <w:lang w:bidi="ar"/>
              </w:rPr>
              <w:t>《市场准入负面清单》（20</w:t>
            </w:r>
            <w:r>
              <w:rPr>
                <w:rFonts w:hint="eastAsia" w:ascii="Times New Roman" w:hAnsi="Times New Roman" w:eastAsia="宋体" w:cs="Times New Roman"/>
                <w:color w:val="000000"/>
                <w:sz w:val="24"/>
                <w:szCs w:val="24"/>
                <w:highlight w:val="none"/>
                <w:lang w:val="en-US" w:eastAsia="zh-CN" w:bidi="ar"/>
              </w:rPr>
              <w:t>2</w:t>
            </w:r>
            <w:r>
              <w:rPr>
                <w:rFonts w:hint="eastAsia" w:ascii="Times New Roman" w:eastAsia="宋体" w:cs="Times New Roman"/>
                <w:color w:val="000000"/>
                <w:sz w:val="24"/>
                <w:szCs w:val="24"/>
                <w:highlight w:val="none"/>
                <w:lang w:val="en-US" w:eastAsia="zh-CN" w:bidi="ar"/>
              </w:rPr>
              <w:t>2年</w:t>
            </w:r>
            <w:r>
              <w:rPr>
                <w:rFonts w:hint="default" w:ascii="Times New Roman" w:hAnsi="Times New Roman" w:eastAsia="宋体" w:cs="Times New Roman"/>
                <w:color w:val="000000"/>
                <w:sz w:val="24"/>
                <w:szCs w:val="24"/>
                <w:highlight w:val="none"/>
                <w:lang w:bidi="ar"/>
              </w:rPr>
              <w:t>版）和</w:t>
            </w:r>
            <w:r>
              <w:rPr>
                <w:rFonts w:hint="default" w:ascii="Times New Roman" w:hAnsi="Times New Roman" w:eastAsia="宋体" w:cs="Times New Roman"/>
                <w:color w:val="000000"/>
                <w:sz w:val="24"/>
                <w:szCs w:val="24"/>
                <w:highlight w:val="none"/>
              </w:rPr>
              <w:t>《泉州市人民政府关于公布泉州市内资投资准入特别管理措施（负面清单）（试行）的通知》（泉政文[2015]97号）的附件中相关要求，项目工程建设不</w:t>
            </w:r>
            <w:r>
              <w:rPr>
                <w:rFonts w:hint="eastAsia" w:ascii="Times New Roman" w:eastAsia="宋体" w:cs="Times New Roman"/>
                <w:color w:val="000000"/>
                <w:sz w:val="24"/>
                <w:szCs w:val="24"/>
                <w:highlight w:val="none"/>
                <w:lang w:eastAsia="zh-CN"/>
              </w:rPr>
              <w:t>属于</w:t>
            </w:r>
            <w:r>
              <w:rPr>
                <w:rFonts w:hint="default" w:ascii="Times New Roman" w:hAnsi="Times New Roman" w:eastAsia="宋体" w:cs="Times New Roman"/>
                <w:color w:val="000000"/>
                <w:sz w:val="24"/>
                <w:szCs w:val="24"/>
                <w:highlight w:val="none"/>
              </w:rPr>
              <w:t>负面清单中限制建设项目或禁止建设项目。</w:t>
            </w:r>
          </w:p>
          <w:p w14:paraId="640A02DD">
            <w:pPr>
              <w:pStyle w:val="16"/>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both"/>
              <w:textAlignment w:val="auto"/>
              <w:rPr>
                <w:rFonts w:hint="default" w:ascii="Times New Roman" w:hAnsi="Times New Roman" w:eastAsia="宋体" w:cs="Times New Roman"/>
                <w:b/>
                <w:bCs/>
                <w:color w:val="000000"/>
                <w:spacing w:val="-6"/>
                <w:sz w:val="24"/>
                <w:szCs w:val="24"/>
                <w:highlight w:val="none"/>
                <w:lang w:eastAsia="zh-CN"/>
              </w:rPr>
            </w:pPr>
            <w:r>
              <w:rPr>
                <w:rFonts w:hint="default" w:ascii="Times New Roman" w:hAnsi="Times New Roman" w:eastAsia="宋体" w:cs="Times New Roman"/>
                <w:b/>
                <w:bCs/>
                <w:color w:val="000000"/>
                <w:spacing w:val="-6"/>
                <w:sz w:val="24"/>
                <w:szCs w:val="24"/>
                <w:highlight w:val="none"/>
                <w:lang w:eastAsia="zh-CN"/>
              </w:rPr>
              <w:t>⑤</w:t>
            </w:r>
            <w:r>
              <w:rPr>
                <w:rFonts w:hint="default" w:ascii="Times New Roman" w:hAnsi="Times New Roman" w:eastAsia="宋体" w:cs="Times New Roman"/>
                <w:b/>
                <w:bCs/>
                <w:color w:val="000000"/>
                <w:spacing w:val="-6"/>
                <w:sz w:val="24"/>
                <w:highlight w:val="none"/>
                <w:lang w:eastAsia="zh-CN"/>
              </w:rPr>
              <w:t>与泉州市“</w:t>
            </w:r>
            <w:r>
              <w:rPr>
                <w:rFonts w:hint="default" w:ascii="Times New Roman" w:hAnsi="Times New Roman" w:eastAsia="宋体" w:cs="Times New Roman"/>
                <w:b/>
                <w:bCs/>
                <w:color w:val="000000"/>
                <w:spacing w:val="-6"/>
                <w:sz w:val="24"/>
                <w:highlight w:val="none"/>
              </w:rPr>
              <w:t>三线一单</w:t>
            </w:r>
            <w:r>
              <w:rPr>
                <w:rFonts w:hint="default" w:ascii="Times New Roman" w:hAnsi="Times New Roman" w:eastAsia="宋体" w:cs="Times New Roman"/>
                <w:b/>
                <w:bCs/>
                <w:color w:val="000000"/>
                <w:spacing w:val="-6"/>
                <w:sz w:val="24"/>
                <w:highlight w:val="none"/>
                <w:lang w:eastAsia="zh-CN"/>
              </w:rPr>
              <w:t>”</w:t>
            </w:r>
            <w:r>
              <w:rPr>
                <w:rFonts w:hint="default" w:ascii="Times New Roman" w:hAnsi="Times New Roman" w:eastAsia="宋体" w:cs="Times New Roman"/>
                <w:b/>
                <w:bCs/>
                <w:color w:val="000000"/>
                <w:spacing w:val="-6"/>
                <w:sz w:val="24"/>
                <w:highlight w:val="none"/>
              </w:rPr>
              <w:t>生态环境分区管控要求的符合性分析</w:t>
            </w:r>
          </w:p>
          <w:p w14:paraId="78E5EBD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sz w:val="24"/>
                <w:highlight w:val="none"/>
              </w:rPr>
              <w:t>泉州市人民政府于2021年11月</w:t>
            </w:r>
            <w:r>
              <w:rPr>
                <w:rFonts w:hint="eastAsia"/>
                <w:sz w:val="24"/>
                <w:highlight w:val="none"/>
                <w:lang w:val="en-US" w:eastAsia="zh-CN"/>
              </w:rPr>
              <w:t>2</w:t>
            </w:r>
            <w:r>
              <w:rPr>
                <w:rFonts w:hint="default"/>
                <w:sz w:val="24"/>
                <w:highlight w:val="none"/>
              </w:rPr>
              <w:t>日发布了《泉州市人民政府关于实施</w:t>
            </w:r>
            <w:r>
              <w:rPr>
                <w:rFonts w:hint="eastAsia"/>
                <w:sz w:val="24"/>
                <w:highlight w:val="none"/>
                <w:lang w:eastAsia="zh-CN"/>
              </w:rPr>
              <w:t>“</w:t>
            </w:r>
            <w:r>
              <w:rPr>
                <w:rFonts w:hint="default"/>
                <w:sz w:val="24"/>
                <w:highlight w:val="none"/>
              </w:rPr>
              <w:t>三线一单</w:t>
            </w:r>
            <w:r>
              <w:rPr>
                <w:rFonts w:hint="eastAsia"/>
                <w:sz w:val="24"/>
                <w:highlight w:val="none"/>
                <w:lang w:eastAsia="zh-CN"/>
              </w:rPr>
              <w:t>”</w:t>
            </w:r>
            <w:r>
              <w:rPr>
                <w:rFonts w:hint="default"/>
                <w:sz w:val="24"/>
                <w:highlight w:val="none"/>
              </w:rPr>
              <w:t>生态环境分区管控的通知》（泉政文〔2021〕50号），</w:t>
            </w:r>
            <w:r>
              <w:rPr>
                <w:rFonts w:hint="eastAsia" w:ascii="Times New Roman" w:hAnsi="Times New Roman" w:eastAsia="宋体" w:cs="Times New Roman"/>
                <w:color w:val="000000"/>
                <w:kern w:val="2"/>
                <w:sz w:val="24"/>
                <w:szCs w:val="24"/>
                <w:highlight w:val="none"/>
                <w:lang w:val="en-US" w:eastAsia="zh-CN" w:bidi="ar-SA"/>
              </w:rPr>
              <w:t>泉州市</w:t>
            </w:r>
            <w:r>
              <w:rPr>
                <w:rFonts w:hint="default" w:ascii="Times New Roman" w:hAnsi="Times New Roman" w:eastAsia="宋体" w:cs="Times New Roman"/>
                <w:color w:val="000000"/>
                <w:kern w:val="2"/>
                <w:sz w:val="24"/>
                <w:szCs w:val="24"/>
                <w:highlight w:val="none"/>
                <w:lang w:val="en-US" w:eastAsia="zh-CN" w:bidi="ar-SA"/>
              </w:rPr>
              <w:t>实施</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三线一单</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生态环境分区管控，</w:t>
            </w:r>
            <w:r>
              <w:rPr>
                <w:rFonts w:hint="eastAsia" w:ascii="Times New Roman" w:hAnsi="Times New Roman" w:eastAsia="宋体" w:cs="Times New Roman"/>
                <w:color w:val="000000"/>
                <w:kern w:val="2"/>
                <w:sz w:val="24"/>
                <w:szCs w:val="24"/>
                <w:highlight w:val="none"/>
                <w:lang w:val="en-US" w:eastAsia="zh-CN" w:bidi="ar-SA"/>
              </w:rPr>
              <w:t>项目与“</w:t>
            </w:r>
            <w:r>
              <w:rPr>
                <w:rFonts w:hint="default" w:ascii="Times New Roman" w:hAnsi="Times New Roman" w:eastAsia="宋体" w:cs="Times New Roman"/>
                <w:color w:val="000000"/>
                <w:kern w:val="2"/>
                <w:sz w:val="24"/>
                <w:szCs w:val="24"/>
                <w:highlight w:val="none"/>
                <w:lang w:val="en-US" w:eastAsia="zh-CN" w:bidi="ar-SA"/>
              </w:rPr>
              <w:t>泉州市总体准入要求</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泉州市陆域环境管控单元准入要求</w:t>
            </w:r>
            <w:r>
              <w:rPr>
                <w:rFonts w:hint="eastAsia" w:ascii="Times New Roman" w:hAnsi="Times New Roman" w:eastAsia="宋体" w:cs="Times New Roman"/>
                <w:color w:val="000000"/>
                <w:kern w:val="2"/>
                <w:sz w:val="24"/>
                <w:szCs w:val="24"/>
                <w:highlight w:val="none"/>
                <w:lang w:val="en-US" w:eastAsia="zh-CN" w:bidi="ar-SA"/>
              </w:rPr>
              <w:t>”符合性分析分别见下表</w:t>
            </w:r>
            <w:r>
              <w:rPr>
                <w:rFonts w:hint="default" w:ascii="Times New Roman" w:hAnsi="Times New Roman" w:eastAsia="宋体" w:cs="Times New Roman"/>
                <w:color w:val="000000"/>
                <w:kern w:val="2"/>
                <w:sz w:val="24"/>
                <w:szCs w:val="24"/>
                <w:highlight w:val="none"/>
                <w:lang w:val="en-US" w:eastAsia="zh-CN" w:bidi="ar-SA"/>
              </w:rPr>
              <w:t>。</w:t>
            </w:r>
          </w:p>
          <w:p w14:paraId="0B574A58">
            <w:pPr>
              <w:pStyle w:val="85"/>
              <w:bidi w:val="0"/>
              <w:spacing w:before="0" w:beforeLines="0"/>
              <w:rPr>
                <w:rFonts w:hint="default" w:ascii="Times New Roman" w:hAnsi="Times New Roman" w:eastAsia="宋体" w:cs="Times New Roman"/>
                <w:b/>
                <w:bCs/>
                <w:color w:val="FF0000"/>
                <w:highlight w:val="none"/>
              </w:rPr>
            </w:pPr>
            <w:bookmarkStart w:id="1" w:name="_Ref11042"/>
            <w:r>
              <w:rPr>
                <w:rFonts w:hint="default" w:ascii="Times New Roman" w:hAnsi="Times New Roman" w:eastAsia="宋体" w:cs="Times New Roman"/>
                <w:b/>
                <w:bCs/>
                <w:highlight w:val="none"/>
              </w:rPr>
              <w:t>表1-</w:t>
            </w:r>
            <w:bookmarkEnd w:id="1"/>
            <w:r>
              <w:rPr>
                <w:rFonts w:hint="eastAsia" w:eastAsia="宋体" w:cs="Times New Roman"/>
                <w:b/>
                <w:bCs/>
                <w:highlight w:val="none"/>
                <w:lang w:val="en-US" w:eastAsia="zh-CN"/>
              </w:rPr>
              <w:t>2</w:t>
            </w:r>
            <w:r>
              <w:rPr>
                <w:rFonts w:hint="default" w:ascii="Times New Roman" w:hAnsi="Times New Roman" w:eastAsia="宋体" w:cs="Times New Roman"/>
                <w:b/>
                <w:bCs/>
                <w:highlight w:val="none"/>
                <w:lang w:val="en-US" w:eastAsia="zh-CN"/>
              </w:rPr>
              <w:t xml:space="preserve">  与泉州市总体准入要求符合性分析一览表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3"/>
              <w:gridCol w:w="792"/>
              <w:gridCol w:w="2912"/>
              <w:gridCol w:w="1082"/>
              <w:gridCol w:w="645"/>
            </w:tblGrid>
            <w:tr w14:paraId="17743C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608" w:type="pct"/>
                  <w:tcBorders>
                    <w:tl2br w:val="nil"/>
                    <w:tr2bl w:val="nil"/>
                  </w:tcBorders>
                  <w:noWrap w:val="0"/>
                  <w:vAlign w:val="center"/>
                </w:tcPr>
                <w:p w14:paraId="10E47E82">
                  <w:pPr>
                    <w:pStyle w:val="86"/>
                    <w:bidi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适用范围</w:t>
                  </w:r>
                </w:p>
              </w:tc>
              <w:tc>
                <w:tcPr>
                  <w:tcW w:w="2995" w:type="pct"/>
                  <w:gridSpan w:val="2"/>
                  <w:tcBorders>
                    <w:tl2br w:val="nil"/>
                    <w:tr2bl w:val="nil"/>
                  </w:tcBorders>
                  <w:noWrap w:val="0"/>
                  <w:vAlign w:val="center"/>
                </w:tcPr>
                <w:p w14:paraId="3F6F1CB0">
                  <w:pPr>
                    <w:pStyle w:val="86"/>
                    <w:bidi w:val="0"/>
                    <w:ind w:left="0" w:leftChars="0" w:right="0" w:rightChars="0"/>
                    <w:jc w:val="center"/>
                    <w:rPr>
                      <w:rFonts w:hint="default" w:ascii="Times New Roman" w:hAnsi="Times New Roman" w:eastAsia="宋体" w:cs="Times New Roman"/>
                      <w:color w:val="000000"/>
                      <w:kern w:val="2"/>
                      <w:sz w:val="21"/>
                      <w:szCs w:val="21"/>
                      <w:highlight w:val="none"/>
                      <w:lang w:val="en-US" w:eastAsia="zh-CN" w:bidi="ar"/>
                    </w:rPr>
                  </w:pPr>
                  <w:r>
                    <w:rPr>
                      <w:rFonts w:hint="default"/>
                      <w:color w:val="000000"/>
                      <w:sz w:val="21"/>
                      <w:szCs w:val="21"/>
                      <w:highlight w:val="none"/>
                    </w:rPr>
                    <w:t>准入要求</w:t>
                  </w:r>
                </w:p>
              </w:tc>
              <w:tc>
                <w:tcPr>
                  <w:tcW w:w="875" w:type="pct"/>
                  <w:tcBorders>
                    <w:tl2br w:val="nil"/>
                    <w:tr2bl w:val="nil"/>
                  </w:tcBorders>
                  <w:noWrap w:val="0"/>
                  <w:vAlign w:val="center"/>
                </w:tcPr>
                <w:p w14:paraId="7CC8CE26">
                  <w:pPr>
                    <w:pStyle w:val="86"/>
                    <w:bidi w:val="0"/>
                    <w:jc w:val="center"/>
                    <w:rPr>
                      <w:rFonts w:hint="eastAsia" w:eastAsia="宋体"/>
                      <w:color w:val="000000"/>
                      <w:sz w:val="21"/>
                      <w:szCs w:val="21"/>
                      <w:highlight w:val="none"/>
                      <w:lang w:eastAsia="zh-CN"/>
                    </w:rPr>
                  </w:pPr>
                  <w:r>
                    <w:rPr>
                      <w:rFonts w:hint="eastAsia"/>
                      <w:color w:val="000000"/>
                      <w:sz w:val="21"/>
                      <w:szCs w:val="21"/>
                      <w:highlight w:val="none"/>
                      <w:lang w:eastAsia="zh-CN"/>
                    </w:rPr>
                    <w:t>项目情况</w:t>
                  </w:r>
                </w:p>
              </w:tc>
              <w:tc>
                <w:tcPr>
                  <w:tcW w:w="521" w:type="pct"/>
                  <w:tcBorders>
                    <w:tl2br w:val="nil"/>
                    <w:tr2bl w:val="nil"/>
                  </w:tcBorders>
                  <w:noWrap w:val="0"/>
                  <w:vAlign w:val="center"/>
                </w:tcPr>
                <w:p w14:paraId="136F8BF7">
                  <w:pPr>
                    <w:pStyle w:val="86"/>
                    <w:bidi w:val="0"/>
                    <w:jc w:val="center"/>
                    <w:rPr>
                      <w:rFonts w:hint="eastAsia"/>
                      <w:color w:val="000000"/>
                      <w:sz w:val="21"/>
                      <w:szCs w:val="21"/>
                      <w:highlight w:val="none"/>
                      <w:lang w:eastAsia="zh-CN"/>
                    </w:rPr>
                  </w:pPr>
                  <w:r>
                    <w:rPr>
                      <w:rFonts w:hint="eastAsia"/>
                      <w:color w:val="000000"/>
                      <w:sz w:val="21"/>
                      <w:szCs w:val="21"/>
                      <w:highlight w:val="none"/>
                      <w:lang w:eastAsia="zh-CN"/>
                    </w:rPr>
                    <w:t>符合性</w:t>
                  </w:r>
                </w:p>
              </w:tc>
            </w:tr>
            <w:tr w14:paraId="606028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8" w:type="pct"/>
                  <w:vMerge w:val="restart"/>
                  <w:tcBorders>
                    <w:tl2br w:val="nil"/>
                    <w:tr2bl w:val="nil"/>
                  </w:tcBorders>
                  <w:noWrap w:val="0"/>
                  <w:vAlign w:val="center"/>
                </w:tcPr>
                <w:p w14:paraId="2A38618F">
                  <w:pPr>
                    <w:pStyle w:val="86"/>
                    <w:bidi w:val="0"/>
                    <w:jc w:val="center"/>
                    <w:rPr>
                      <w:rFonts w:hint="default"/>
                      <w:color w:val="000000"/>
                      <w:sz w:val="21"/>
                      <w:szCs w:val="21"/>
                      <w:highlight w:val="none"/>
                      <w:lang w:val="en-US" w:eastAsia="zh-CN"/>
                    </w:rPr>
                  </w:pPr>
                  <w:r>
                    <w:rPr>
                      <w:rFonts w:hint="eastAsia"/>
                      <w:color w:val="000000"/>
                      <w:sz w:val="21"/>
                      <w:szCs w:val="21"/>
                      <w:highlight w:val="none"/>
                      <w:lang w:val="en-US" w:eastAsia="zh-CN"/>
                    </w:rPr>
                    <w:t>陆域</w:t>
                  </w:r>
                </w:p>
              </w:tc>
              <w:tc>
                <w:tcPr>
                  <w:tcW w:w="640" w:type="pct"/>
                  <w:tcBorders>
                    <w:tl2br w:val="nil"/>
                    <w:tr2bl w:val="nil"/>
                  </w:tcBorders>
                  <w:noWrap w:val="0"/>
                  <w:vAlign w:val="center"/>
                </w:tcPr>
                <w:p w14:paraId="44796F68">
                  <w:pPr>
                    <w:pStyle w:val="86"/>
                    <w:bidi w:val="0"/>
                    <w:jc w:val="center"/>
                    <w:rPr>
                      <w:rFonts w:hint="default"/>
                      <w:color w:val="000000"/>
                      <w:sz w:val="21"/>
                      <w:szCs w:val="21"/>
                      <w:highlight w:val="none"/>
                      <w:lang w:val="en-US" w:eastAsia="zh-CN"/>
                    </w:rPr>
                  </w:pPr>
                  <w:r>
                    <w:rPr>
                      <w:rFonts w:hint="eastAsia"/>
                      <w:color w:val="000000"/>
                      <w:sz w:val="21"/>
                      <w:szCs w:val="21"/>
                      <w:highlight w:val="none"/>
                    </w:rPr>
                    <w:t>空间布局约束</w:t>
                  </w:r>
                </w:p>
              </w:tc>
              <w:tc>
                <w:tcPr>
                  <w:tcW w:w="2354" w:type="pct"/>
                  <w:tcBorders>
                    <w:tl2br w:val="nil"/>
                    <w:tr2bl w:val="nil"/>
                  </w:tcBorders>
                  <w:noWrap w:val="0"/>
                  <w:vAlign w:val="center"/>
                </w:tcPr>
                <w:p w14:paraId="59591FB8">
                  <w:pPr>
                    <w:pStyle w:val="86"/>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color w:val="000000"/>
                      <w:sz w:val="21"/>
                      <w:szCs w:val="21"/>
                      <w:highlight w:val="none"/>
                    </w:rPr>
                  </w:pPr>
                  <w:r>
                    <w:rPr>
                      <w:color w:val="000000"/>
                      <w:sz w:val="21"/>
                      <w:szCs w:val="21"/>
                      <w:highlight w:val="none"/>
                    </w:rPr>
                    <w:t>1.除</w:t>
                  </w:r>
                  <w:r>
                    <w:rPr>
                      <w:rFonts w:hint="eastAsia"/>
                      <w:color w:val="000000"/>
                      <w:sz w:val="21"/>
                      <w:szCs w:val="21"/>
                      <w:highlight w:val="none"/>
                    </w:rPr>
                    <w:t>湄洲湾</w:t>
                  </w:r>
                  <w:r>
                    <w:rPr>
                      <w:color w:val="000000"/>
                      <w:sz w:val="21"/>
                      <w:szCs w:val="21"/>
                      <w:highlight w:val="none"/>
                    </w:rPr>
                    <w:t>石化基地外</w:t>
                  </w:r>
                  <w:r>
                    <w:rPr>
                      <w:rFonts w:hint="eastAsia"/>
                      <w:color w:val="000000"/>
                      <w:sz w:val="21"/>
                      <w:szCs w:val="21"/>
                      <w:highlight w:val="none"/>
                    </w:rPr>
                    <w:t>，其他地方</w:t>
                  </w:r>
                  <w:r>
                    <w:rPr>
                      <w:color w:val="000000"/>
                      <w:sz w:val="21"/>
                      <w:szCs w:val="21"/>
                      <w:highlight w:val="none"/>
                    </w:rPr>
                    <w:t>不再布局新的石化中上游项目。</w:t>
                  </w:r>
                </w:p>
                <w:p w14:paraId="60A838A7">
                  <w:pPr>
                    <w:pStyle w:val="86"/>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color w:val="000000"/>
                      <w:sz w:val="21"/>
                      <w:szCs w:val="21"/>
                      <w:highlight w:val="none"/>
                    </w:rPr>
                  </w:pPr>
                  <w:r>
                    <w:rPr>
                      <w:rFonts w:hint="eastAsia"/>
                      <w:color w:val="000000"/>
                      <w:sz w:val="21"/>
                      <w:szCs w:val="21"/>
                      <w:highlight w:val="none"/>
                    </w:rPr>
                    <w:t>2</w:t>
                  </w:r>
                  <w:r>
                    <w:rPr>
                      <w:color w:val="000000"/>
                      <w:sz w:val="21"/>
                      <w:szCs w:val="21"/>
                      <w:highlight w:val="none"/>
                    </w:rPr>
                    <w:t>.泉州高新技术产业开发区</w:t>
                  </w:r>
                  <w:r>
                    <w:rPr>
                      <w:rFonts w:hint="eastAsia"/>
                      <w:color w:val="000000"/>
                      <w:sz w:val="21"/>
                      <w:szCs w:val="21"/>
                      <w:highlight w:val="none"/>
                    </w:rPr>
                    <w:t>（</w:t>
                  </w:r>
                  <w:r>
                    <w:rPr>
                      <w:color w:val="000000"/>
                      <w:sz w:val="21"/>
                      <w:szCs w:val="21"/>
                      <w:highlight w:val="none"/>
                    </w:rPr>
                    <w:t>鲤城</w:t>
                  </w:r>
                  <w:r>
                    <w:rPr>
                      <w:rFonts w:hint="eastAsia"/>
                      <w:color w:val="000000"/>
                      <w:sz w:val="21"/>
                      <w:szCs w:val="21"/>
                      <w:highlight w:val="none"/>
                    </w:rPr>
                    <w:t>园）</w:t>
                  </w:r>
                  <w:r>
                    <w:rPr>
                      <w:color w:val="000000"/>
                      <w:sz w:val="21"/>
                      <w:szCs w:val="21"/>
                      <w:highlight w:val="none"/>
                    </w:rPr>
                    <w:t>、泉州经济技术开发区、福建晋江经济开发区五里园、泉州台商投资区禁止引进耗水量大、重污染等三类企业。</w:t>
                  </w:r>
                </w:p>
                <w:p w14:paraId="1112C415">
                  <w:pPr>
                    <w:pStyle w:val="86"/>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color w:val="000000"/>
                      <w:sz w:val="21"/>
                      <w:szCs w:val="21"/>
                      <w:highlight w:val="none"/>
                    </w:rPr>
                  </w:pPr>
                  <w:r>
                    <w:rPr>
                      <w:rFonts w:hint="eastAsia"/>
                      <w:color w:val="000000"/>
                      <w:sz w:val="21"/>
                      <w:szCs w:val="21"/>
                      <w:highlight w:val="none"/>
                    </w:rPr>
                    <w:t>3</w:t>
                  </w:r>
                  <w:r>
                    <w:rPr>
                      <w:color w:val="000000"/>
                      <w:sz w:val="21"/>
                      <w:szCs w:val="21"/>
                      <w:highlight w:val="none"/>
                    </w:rPr>
                    <w:t>.福建洛江经济开发区</w:t>
                  </w:r>
                  <w:r>
                    <w:rPr>
                      <w:rFonts w:hint="eastAsia"/>
                      <w:color w:val="000000"/>
                      <w:sz w:val="21"/>
                      <w:szCs w:val="21"/>
                      <w:highlight w:val="none"/>
                    </w:rPr>
                    <w:t>禁止引入新增铅、汞、镉、铬和砷等重点重金属污染物排放的建设项目</w:t>
                  </w:r>
                  <w:r>
                    <w:rPr>
                      <w:color w:val="000000"/>
                      <w:sz w:val="21"/>
                      <w:szCs w:val="21"/>
                      <w:highlight w:val="none"/>
                    </w:rPr>
                    <w:t>，</w:t>
                  </w:r>
                  <w:r>
                    <w:rPr>
                      <w:rFonts w:hint="eastAsia"/>
                      <w:color w:val="000000"/>
                      <w:sz w:val="21"/>
                      <w:szCs w:val="21"/>
                      <w:highlight w:val="none"/>
                    </w:rPr>
                    <w:t>现有化工（单纯混合或者分装除外）、蓄电池企业应限制规模，有条件时逐步退出</w:t>
                  </w:r>
                  <w:r>
                    <w:rPr>
                      <w:color w:val="000000"/>
                      <w:sz w:val="21"/>
                      <w:szCs w:val="21"/>
                      <w:highlight w:val="none"/>
                    </w:rPr>
                    <w:t>；福建南安经济开发区禁止新建制浆造纸和以排放氨氮、总磷等主要污染物的工业项目；福建永春工业园区严禁引入</w:t>
                  </w:r>
                  <w:r>
                    <w:rPr>
                      <w:rFonts w:hint="eastAsia"/>
                      <w:color w:val="000000"/>
                      <w:sz w:val="21"/>
                      <w:szCs w:val="21"/>
                      <w:highlight w:val="none"/>
                    </w:rPr>
                    <w:t>不符合园区规划的</w:t>
                  </w:r>
                  <w:r>
                    <w:rPr>
                      <w:color w:val="000000"/>
                      <w:sz w:val="21"/>
                      <w:szCs w:val="21"/>
                      <w:highlight w:val="none"/>
                    </w:rPr>
                    <w:t>三类工业，禁止引入排放重金属、持久性污染物的工业项目。</w:t>
                  </w:r>
                </w:p>
                <w:p w14:paraId="658D45F6">
                  <w:pPr>
                    <w:pStyle w:val="86"/>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color w:val="000000"/>
                      <w:sz w:val="21"/>
                      <w:szCs w:val="21"/>
                      <w:highlight w:val="none"/>
                    </w:rPr>
                  </w:pPr>
                  <w:r>
                    <w:rPr>
                      <w:rFonts w:hint="eastAsia"/>
                      <w:color w:val="000000"/>
                      <w:sz w:val="21"/>
                      <w:szCs w:val="21"/>
                      <w:highlight w:val="none"/>
                    </w:rPr>
                    <w:t>4</w:t>
                  </w:r>
                  <w:r>
                    <w:rPr>
                      <w:color w:val="000000"/>
                      <w:sz w:val="21"/>
                      <w:szCs w:val="21"/>
                      <w:highlight w:val="none"/>
                    </w:rPr>
                    <w:t>.泉州高新技术产业开发区</w:t>
                  </w:r>
                  <w:r>
                    <w:rPr>
                      <w:rFonts w:hint="eastAsia"/>
                      <w:color w:val="000000"/>
                      <w:sz w:val="21"/>
                      <w:szCs w:val="21"/>
                      <w:highlight w:val="none"/>
                    </w:rPr>
                    <w:t>（石狮园）</w:t>
                  </w:r>
                  <w:r>
                    <w:rPr>
                      <w:color w:val="000000"/>
                      <w:sz w:val="21"/>
                      <w:szCs w:val="21"/>
                      <w:highlight w:val="none"/>
                    </w:rPr>
                    <w:t>禁止引入新增重金属及持久性有机污染物排放的项目；福建南安经济开发区禁止引进电镀、涉剧毒物质、涉重金属和持久性污染物等的环境风险项目。</w:t>
                  </w:r>
                </w:p>
                <w:p w14:paraId="4338FB29">
                  <w:pPr>
                    <w:pStyle w:val="86"/>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rFonts w:hint="default"/>
                      <w:color w:val="000000"/>
                      <w:sz w:val="21"/>
                      <w:szCs w:val="21"/>
                      <w:highlight w:val="none"/>
                      <w:lang w:val="en-US" w:eastAsia="zh-CN"/>
                    </w:rPr>
                  </w:pPr>
                  <w:r>
                    <w:rPr>
                      <w:rFonts w:hint="eastAsia"/>
                      <w:color w:val="000000"/>
                      <w:sz w:val="21"/>
                      <w:szCs w:val="21"/>
                      <w:highlight w:val="none"/>
                    </w:rPr>
                    <w:t>5</w:t>
                  </w:r>
                  <w:r>
                    <w:rPr>
                      <w:color w:val="000000"/>
                      <w:sz w:val="21"/>
                      <w:szCs w:val="21"/>
                      <w:highlight w:val="none"/>
                    </w:rPr>
                    <w:t>.</w:t>
                  </w:r>
                  <w:r>
                    <w:rPr>
                      <w:rFonts w:hint="eastAsia"/>
                      <w:color w:val="000000"/>
                      <w:sz w:val="21"/>
                      <w:szCs w:val="21"/>
                      <w:highlight w:val="none"/>
                    </w:rPr>
                    <w:t>未经市委、市政府同意，禁止新建制革、造纸、电镀、漂染等重污染项目。</w:t>
                  </w:r>
                </w:p>
              </w:tc>
              <w:tc>
                <w:tcPr>
                  <w:tcW w:w="875" w:type="pct"/>
                  <w:tcBorders>
                    <w:tl2br w:val="nil"/>
                    <w:tr2bl w:val="nil"/>
                  </w:tcBorders>
                  <w:noWrap w:val="0"/>
                  <w:vAlign w:val="center"/>
                </w:tcPr>
                <w:p w14:paraId="7E735CBE">
                  <w:pPr>
                    <w:pStyle w:val="86"/>
                    <w:bidi w:val="0"/>
                    <w:jc w:val="both"/>
                    <w:rPr>
                      <w:rFonts w:hint="default" w:eastAsia="宋体"/>
                      <w:color w:val="000000"/>
                      <w:sz w:val="21"/>
                      <w:szCs w:val="21"/>
                      <w:highlight w:val="none"/>
                      <w:lang w:val="en-US" w:eastAsia="zh-CN"/>
                    </w:rPr>
                  </w:pPr>
                  <w:r>
                    <w:rPr>
                      <w:rFonts w:hint="eastAsia"/>
                      <w:color w:val="000000"/>
                      <w:sz w:val="21"/>
                      <w:szCs w:val="21"/>
                      <w:highlight w:val="none"/>
                      <w:lang w:eastAsia="zh-CN"/>
                    </w:rPr>
                    <w:t>项目</w:t>
                  </w:r>
                  <w:r>
                    <w:rPr>
                      <w:rFonts w:hint="eastAsia"/>
                      <w:color w:val="000000"/>
                      <w:sz w:val="21"/>
                      <w:szCs w:val="21"/>
                      <w:highlight w:val="none"/>
                      <w:lang w:val="en-US" w:eastAsia="zh-CN"/>
                    </w:rPr>
                    <w:t>主要从事布料的丝印加工，</w:t>
                  </w:r>
                  <w:r>
                    <w:rPr>
                      <w:rFonts w:hint="eastAsia"/>
                      <w:color w:val="000000"/>
                      <w:sz w:val="21"/>
                      <w:szCs w:val="21"/>
                      <w:highlight w:val="none"/>
                      <w:lang w:eastAsia="zh-CN"/>
                    </w:rPr>
                    <w:t>不属于</w:t>
                  </w:r>
                  <w:r>
                    <w:rPr>
                      <w:rFonts w:hint="eastAsia"/>
                      <w:color w:val="000000"/>
                      <w:sz w:val="21"/>
                      <w:szCs w:val="21"/>
                      <w:highlight w:val="none"/>
                      <w:lang w:val="en-US" w:eastAsia="zh-CN"/>
                    </w:rPr>
                    <w:t>泉州市陆域空间布局约束项目。</w:t>
                  </w:r>
                </w:p>
              </w:tc>
              <w:tc>
                <w:tcPr>
                  <w:tcW w:w="521" w:type="pct"/>
                  <w:tcBorders>
                    <w:tl2br w:val="nil"/>
                    <w:tr2bl w:val="nil"/>
                  </w:tcBorders>
                  <w:noWrap w:val="0"/>
                  <w:vAlign w:val="center"/>
                </w:tcPr>
                <w:p w14:paraId="0CF574E5">
                  <w:pPr>
                    <w:pStyle w:val="86"/>
                    <w:bidi w:val="0"/>
                    <w:jc w:val="center"/>
                    <w:rPr>
                      <w:rFonts w:hint="eastAsia" w:eastAsia="宋体"/>
                      <w:color w:val="000000"/>
                      <w:sz w:val="21"/>
                      <w:szCs w:val="21"/>
                      <w:highlight w:val="none"/>
                      <w:lang w:eastAsia="zh-CN"/>
                    </w:rPr>
                  </w:pPr>
                  <w:r>
                    <w:rPr>
                      <w:rFonts w:hint="eastAsia"/>
                      <w:color w:val="000000"/>
                      <w:sz w:val="21"/>
                      <w:szCs w:val="21"/>
                      <w:highlight w:val="none"/>
                      <w:lang w:eastAsia="zh-CN"/>
                    </w:rPr>
                    <w:t>符合</w:t>
                  </w:r>
                </w:p>
              </w:tc>
            </w:tr>
            <w:tr w14:paraId="177F4D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8" w:type="pct"/>
                  <w:vMerge w:val="continue"/>
                  <w:tcBorders>
                    <w:tl2br w:val="nil"/>
                    <w:tr2bl w:val="nil"/>
                  </w:tcBorders>
                  <w:noWrap w:val="0"/>
                  <w:vAlign w:val="center"/>
                </w:tcPr>
                <w:p w14:paraId="014A99DE">
                  <w:pPr>
                    <w:pStyle w:val="86"/>
                    <w:bidi w:val="0"/>
                    <w:jc w:val="center"/>
                    <w:rPr>
                      <w:rFonts w:hint="default"/>
                      <w:color w:val="000000"/>
                      <w:sz w:val="21"/>
                      <w:szCs w:val="21"/>
                      <w:highlight w:val="none"/>
                      <w:lang w:val="en-US" w:eastAsia="zh-CN"/>
                    </w:rPr>
                  </w:pPr>
                </w:p>
              </w:tc>
              <w:tc>
                <w:tcPr>
                  <w:tcW w:w="640" w:type="pct"/>
                  <w:tcBorders>
                    <w:tl2br w:val="nil"/>
                    <w:tr2bl w:val="nil"/>
                  </w:tcBorders>
                  <w:noWrap w:val="0"/>
                  <w:vAlign w:val="center"/>
                </w:tcPr>
                <w:p w14:paraId="1631C2F8">
                  <w:pPr>
                    <w:pStyle w:val="86"/>
                    <w:bidi w:val="0"/>
                    <w:jc w:val="center"/>
                    <w:rPr>
                      <w:rFonts w:hint="default"/>
                      <w:color w:val="000000"/>
                      <w:sz w:val="21"/>
                      <w:szCs w:val="21"/>
                      <w:highlight w:val="none"/>
                      <w:lang w:val="en-US" w:eastAsia="zh-CN"/>
                    </w:rPr>
                  </w:pPr>
                  <w:r>
                    <w:rPr>
                      <w:rFonts w:hint="eastAsia"/>
                      <w:color w:val="000000"/>
                      <w:sz w:val="21"/>
                      <w:szCs w:val="21"/>
                      <w:highlight w:val="none"/>
                    </w:rPr>
                    <w:t>污染物排放管控</w:t>
                  </w:r>
                </w:p>
              </w:tc>
              <w:tc>
                <w:tcPr>
                  <w:tcW w:w="2354" w:type="pct"/>
                  <w:tcBorders>
                    <w:tl2br w:val="nil"/>
                    <w:tr2bl w:val="nil"/>
                  </w:tcBorders>
                  <w:noWrap w:val="0"/>
                  <w:vAlign w:val="center"/>
                </w:tcPr>
                <w:p w14:paraId="3E56E9EC">
                  <w:pPr>
                    <w:pStyle w:val="86"/>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rFonts w:hint="default"/>
                      <w:color w:val="000000"/>
                      <w:sz w:val="21"/>
                      <w:szCs w:val="21"/>
                      <w:highlight w:val="none"/>
                      <w:lang w:val="en-US" w:eastAsia="zh-CN"/>
                    </w:rPr>
                  </w:pPr>
                  <w:r>
                    <w:rPr>
                      <w:rFonts w:hint="eastAsia"/>
                      <w:color w:val="000000"/>
                      <w:sz w:val="21"/>
                      <w:szCs w:val="21"/>
                      <w:highlight w:val="none"/>
                    </w:rPr>
                    <w:t>涉新增</w:t>
                  </w:r>
                  <w:r>
                    <w:rPr>
                      <w:color w:val="000000"/>
                      <w:sz w:val="21"/>
                      <w:szCs w:val="21"/>
                      <w:highlight w:val="none"/>
                    </w:rPr>
                    <w:t>VOCs</w:t>
                  </w:r>
                  <w:r>
                    <w:rPr>
                      <w:rFonts w:hint="eastAsia"/>
                      <w:color w:val="000000"/>
                      <w:sz w:val="21"/>
                      <w:szCs w:val="21"/>
                      <w:highlight w:val="none"/>
                    </w:rPr>
                    <w:t>排放项目，实施区域内</w:t>
                  </w:r>
                  <w:r>
                    <w:rPr>
                      <w:color w:val="000000"/>
                      <w:sz w:val="21"/>
                      <w:szCs w:val="21"/>
                      <w:highlight w:val="none"/>
                    </w:rPr>
                    <w:t>VOCs</w:t>
                  </w:r>
                  <w:r>
                    <w:rPr>
                      <w:rFonts w:hint="eastAsia"/>
                      <w:color w:val="000000"/>
                      <w:sz w:val="21"/>
                      <w:szCs w:val="21"/>
                      <w:highlight w:val="none"/>
                    </w:rPr>
                    <w:t>排放</w:t>
                  </w:r>
                  <w:r>
                    <w:rPr>
                      <w:color w:val="000000"/>
                      <w:sz w:val="21"/>
                      <w:szCs w:val="21"/>
                      <w:highlight w:val="none"/>
                    </w:rPr>
                    <w:t>1.2</w:t>
                  </w:r>
                  <w:r>
                    <w:rPr>
                      <w:rFonts w:hint="eastAsia"/>
                      <w:color w:val="000000"/>
                      <w:sz w:val="21"/>
                      <w:szCs w:val="21"/>
                      <w:highlight w:val="none"/>
                    </w:rPr>
                    <w:t>倍削减替代。</w:t>
                  </w:r>
                </w:p>
              </w:tc>
              <w:tc>
                <w:tcPr>
                  <w:tcW w:w="875" w:type="pct"/>
                  <w:tcBorders>
                    <w:tl2br w:val="nil"/>
                    <w:tr2bl w:val="nil"/>
                  </w:tcBorders>
                  <w:noWrap w:val="0"/>
                  <w:vAlign w:val="center"/>
                </w:tcPr>
                <w:p w14:paraId="0F805B20">
                  <w:pPr>
                    <w:pStyle w:val="86"/>
                    <w:bidi w:val="0"/>
                    <w:jc w:val="both"/>
                    <w:rPr>
                      <w:rFonts w:hint="eastAsia" w:eastAsia="宋体"/>
                      <w:color w:val="000000"/>
                      <w:sz w:val="21"/>
                      <w:szCs w:val="21"/>
                      <w:highlight w:val="none"/>
                      <w:lang w:eastAsia="zh-CN"/>
                    </w:rPr>
                  </w:pPr>
                  <w:r>
                    <w:rPr>
                      <w:rFonts w:hint="eastAsia"/>
                      <w:color w:val="000000"/>
                      <w:sz w:val="21"/>
                      <w:szCs w:val="21"/>
                      <w:highlight w:val="none"/>
                      <w:lang w:eastAsia="zh-CN"/>
                    </w:rPr>
                    <w:t>建设单位承诺在投产前，将</w:t>
                  </w:r>
                  <w:r>
                    <w:rPr>
                      <w:rFonts w:hint="eastAsia"/>
                      <w:color w:val="000000"/>
                      <w:sz w:val="21"/>
                      <w:szCs w:val="21"/>
                      <w:highlight w:val="none"/>
                      <w:lang w:val="en-US" w:eastAsia="zh-CN"/>
                    </w:rPr>
                    <w:t>根据相关要求</w:t>
                  </w:r>
                  <w:r>
                    <w:rPr>
                      <w:rFonts w:hint="eastAsia"/>
                      <w:color w:val="000000"/>
                      <w:sz w:val="21"/>
                      <w:szCs w:val="21"/>
                      <w:highlight w:val="none"/>
                      <w:lang w:eastAsia="zh-CN"/>
                    </w:rPr>
                    <w:t>完成VOCs的1.2倍替代工作。</w:t>
                  </w:r>
                </w:p>
              </w:tc>
              <w:tc>
                <w:tcPr>
                  <w:tcW w:w="521" w:type="pct"/>
                  <w:tcBorders>
                    <w:tl2br w:val="nil"/>
                    <w:tr2bl w:val="nil"/>
                  </w:tcBorders>
                  <w:noWrap w:val="0"/>
                  <w:vAlign w:val="center"/>
                </w:tcPr>
                <w:p w14:paraId="7A86CEC1">
                  <w:pPr>
                    <w:pStyle w:val="86"/>
                    <w:bidi w:val="0"/>
                    <w:jc w:val="center"/>
                    <w:rPr>
                      <w:rFonts w:hint="eastAsia" w:eastAsia="宋体"/>
                      <w:color w:val="000000"/>
                      <w:sz w:val="21"/>
                      <w:szCs w:val="21"/>
                      <w:highlight w:val="none"/>
                      <w:lang w:eastAsia="zh-CN"/>
                    </w:rPr>
                  </w:pPr>
                  <w:r>
                    <w:rPr>
                      <w:rFonts w:hint="eastAsia"/>
                      <w:color w:val="000000"/>
                      <w:sz w:val="21"/>
                      <w:szCs w:val="21"/>
                      <w:highlight w:val="none"/>
                      <w:lang w:eastAsia="zh-CN"/>
                    </w:rPr>
                    <w:t>符合</w:t>
                  </w:r>
                </w:p>
              </w:tc>
            </w:tr>
          </w:tbl>
          <w:p w14:paraId="29D1FEB4">
            <w:pPr>
              <w:pStyle w:val="2"/>
              <w:keepNext w:val="0"/>
              <w:keepLines w:val="0"/>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jc w:val="center"/>
              <w:textAlignment w:val="auto"/>
              <w:rPr>
                <w:rFonts w:hint="default" w:ascii="Times New Roman" w:hAnsi="Times New Roman" w:eastAsia="宋体" w:cs="Times New Roman"/>
                <w:b/>
                <w:bCs/>
                <w:color w:val="auto"/>
                <w:spacing w:val="-6"/>
                <w:highlight w:val="none"/>
              </w:rPr>
            </w:pPr>
            <w:bookmarkStart w:id="2" w:name="_Ref11048"/>
            <w:r>
              <w:rPr>
                <w:rFonts w:hint="default" w:ascii="Times New Roman" w:hAnsi="Times New Roman" w:eastAsia="宋体" w:cs="Times New Roman"/>
                <w:b/>
                <w:bCs/>
                <w:color w:val="auto"/>
                <w:spacing w:val="-6"/>
                <w:highlight w:val="none"/>
              </w:rPr>
              <w:t>表1-</w:t>
            </w:r>
            <w:bookmarkEnd w:id="2"/>
            <w:r>
              <w:rPr>
                <w:rFonts w:hint="eastAsia" w:cs="Times New Roman"/>
                <w:b/>
                <w:bCs/>
                <w:color w:val="auto"/>
                <w:spacing w:val="-6"/>
                <w:highlight w:val="none"/>
                <w:lang w:val="en-US" w:eastAsia="zh-CN"/>
              </w:rPr>
              <w:t>3</w:t>
            </w:r>
            <w:r>
              <w:rPr>
                <w:rFonts w:hint="default" w:ascii="Times New Roman" w:hAnsi="Times New Roman" w:eastAsia="宋体" w:cs="Times New Roman"/>
                <w:b/>
                <w:bCs/>
                <w:color w:val="auto"/>
                <w:spacing w:val="-6"/>
                <w:kern w:val="2"/>
                <w:sz w:val="24"/>
                <w:szCs w:val="24"/>
                <w:highlight w:val="none"/>
                <w:lang w:val="en-US" w:eastAsia="zh-CN" w:bidi="ar-SA"/>
              </w:rPr>
              <w:t xml:space="preserve"> 与鲤城区生态环境分区管控符合性分析一览表</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63"/>
              <w:gridCol w:w="704"/>
              <w:gridCol w:w="439"/>
              <w:gridCol w:w="2023"/>
              <w:gridCol w:w="1128"/>
              <w:gridCol w:w="522"/>
            </w:tblGrid>
            <w:tr w14:paraId="1DF9E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67" w:type="pct"/>
                  <w:tcBorders>
                    <w:tl2br w:val="nil"/>
                    <w:tr2bl w:val="nil"/>
                  </w:tcBorders>
                  <w:noWrap w:val="0"/>
                  <w:vAlign w:val="center"/>
                </w:tcPr>
                <w:p w14:paraId="66A6F8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环境管控单元编码</w:t>
                  </w:r>
                </w:p>
              </w:tc>
              <w:tc>
                <w:tcPr>
                  <w:tcW w:w="536" w:type="pct"/>
                  <w:tcBorders>
                    <w:tl2br w:val="nil"/>
                    <w:tr2bl w:val="nil"/>
                  </w:tcBorders>
                  <w:noWrap w:val="0"/>
                  <w:vAlign w:val="center"/>
                </w:tcPr>
                <w:p w14:paraId="56A9FA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环境管控单元名称</w:t>
                  </w:r>
                </w:p>
              </w:tc>
              <w:tc>
                <w:tcPr>
                  <w:tcW w:w="569" w:type="pct"/>
                  <w:tcBorders>
                    <w:tl2br w:val="nil"/>
                    <w:tr2bl w:val="nil"/>
                  </w:tcBorders>
                  <w:noWrap w:val="0"/>
                  <w:vAlign w:val="center"/>
                </w:tcPr>
                <w:p w14:paraId="3465BD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管控单元类别</w:t>
                  </w:r>
                </w:p>
              </w:tc>
              <w:tc>
                <w:tcPr>
                  <w:tcW w:w="1991" w:type="pct"/>
                  <w:gridSpan w:val="2"/>
                  <w:tcBorders>
                    <w:tl2br w:val="nil"/>
                    <w:tr2bl w:val="nil"/>
                  </w:tcBorders>
                  <w:noWrap w:val="0"/>
                  <w:vAlign w:val="center"/>
                </w:tcPr>
                <w:p w14:paraId="122AEE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管控要求</w:t>
                  </w:r>
                </w:p>
              </w:tc>
              <w:tc>
                <w:tcPr>
                  <w:tcW w:w="912" w:type="pct"/>
                  <w:tcBorders>
                    <w:tl2br w:val="nil"/>
                    <w:tr2bl w:val="nil"/>
                  </w:tcBorders>
                  <w:noWrap w:val="0"/>
                  <w:vAlign w:val="center"/>
                </w:tcPr>
                <w:p w14:paraId="51AD3237">
                  <w:pPr>
                    <w:pStyle w:val="86"/>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sz w:val="21"/>
                      <w:szCs w:val="21"/>
                      <w:highlight w:val="none"/>
                      <w:lang w:eastAsia="zh-CN"/>
                    </w:rPr>
                    <w:t>项目情况</w:t>
                  </w:r>
                </w:p>
              </w:tc>
              <w:tc>
                <w:tcPr>
                  <w:tcW w:w="421" w:type="pct"/>
                  <w:tcBorders>
                    <w:tl2br w:val="nil"/>
                    <w:tr2bl w:val="nil"/>
                  </w:tcBorders>
                  <w:noWrap w:val="0"/>
                  <w:vAlign w:val="center"/>
                </w:tcPr>
                <w:p w14:paraId="41ECCEF3">
                  <w:pPr>
                    <w:pStyle w:val="86"/>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sz w:val="21"/>
                      <w:szCs w:val="21"/>
                      <w:highlight w:val="none"/>
                      <w:lang w:eastAsia="zh-CN"/>
                    </w:rPr>
                    <w:t>符合性</w:t>
                  </w:r>
                </w:p>
              </w:tc>
            </w:tr>
            <w:tr w14:paraId="764A0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pct"/>
                  <w:vMerge w:val="restart"/>
                  <w:tcBorders>
                    <w:tl2br w:val="nil"/>
                    <w:tr2bl w:val="nil"/>
                  </w:tcBorders>
                  <w:noWrap w:val="0"/>
                  <w:vAlign w:val="center"/>
                </w:tcPr>
                <w:p w14:paraId="06C2A67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ZH3505</w:t>
                  </w:r>
                  <w:r>
                    <w:rPr>
                      <w:rFonts w:hint="eastAsia" w:ascii="Times New Roman" w:hAnsi="Times New Roman" w:eastAsia="宋体" w:cs="Times New Roman"/>
                      <w:color w:val="000000"/>
                      <w:sz w:val="21"/>
                      <w:szCs w:val="21"/>
                      <w:highlight w:val="none"/>
                      <w:lang w:val="en-US" w:eastAsia="zh-CN"/>
                    </w:rPr>
                    <w:t>0</w:t>
                  </w:r>
                  <w:r>
                    <w:rPr>
                      <w:rFonts w:hint="default" w:ascii="Times New Roman" w:hAnsi="Times New Roman" w:eastAsia="宋体" w:cs="Times New Roman"/>
                      <w:color w:val="000000"/>
                      <w:sz w:val="21"/>
                      <w:szCs w:val="21"/>
                      <w:highlight w:val="none"/>
                    </w:rPr>
                    <w:t>220001</w:t>
                  </w:r>
                </w:p>
              </w:tc>
              <w:tc>
                <w:tcPr>
                  <w:tcW w:w="536" w:type="pct"/>
                  <w:vMerge w:val="restart"/>
                  <w:tcBorders>
                    <w:tl2br w:val="nil"/>
                    <w:tr2bl w:val="nil"/>
                  </w:tcBorders>
                  <w:noWrap w:val="0"/>
                  <w:vAlign w:val="center"/>
                </w:tcPr>
                <w:p w14:paraId="31DFA58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eastAsia="zh-CN"/>
                    </w:rPr>
                    <w:t>泉州高新技术产业开发区（鲤城园）</w:t>
                  </w:r>
                </w:p>
              </w:tc>
              <w:tc>
                <w:tcPr>
                  <w:tcW w:w="569" w:type="pct"/>
                  <w:vMerge w:val="restart"/>
                  <w:tcBorders>
                    <w:tl2br w:val="nil"/>
                    <w:tr2bl w:val="nil"/>
                  </w:tcBorders>
                  <w:noWrap w:val="0"/>
                  <w:vAlign w:val="center"/>
                </w:tcPr>
                <w:p w14:paraId="2252F5F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重点管控单元</w:t>
                  </w:r>
                </w:p>
              </w:tc>
              <w:tc>
                <w:tcPr>
                  <w:tcW w:w="354" w:type="pct"/>
                  <w:tcBorders>
                    <w:tl2br w:val="nil"/>
                    <w:tr2bl w:val="nil"/>
                  </w:tcBorders>
                  <w:noWrap w:val="0"/>
                  <w:vAlign w:val="center"/>
                </w:tcPr>
                <w:p w14:paraId="6A01C9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空间布局约束</w:t>
                  </w:r>
                </w:p>
              </w:tc>
              <w:tc>
                <w:tcPr>
                  <w:tcW w:w="1636" w:type="pct"/>
                  <w:tcBorders>
                    <w:tl2br w:val="nil"/>
                    <w:tr2bl w:val="nil"/>
                  </w:tcBorders>
                  <w:noWrap w:val="0"/>
                  <w:vAlign w:val="center"/>
                </w:tcPr>
                <w:p w14:paraId="32E9A638">
                  <w:pPr>
                    <w:keepNext w:val="0"/>
                    <w:keepLines w:val="0"/>
                    <w:pageBreakBefore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eastAsia="zh-CN"/>
                    </w:rPr>
                    <w:t>入区企业类型以一类工业为主，二类工业为辅，禁止引进耗水量大、重污染等三类企业</w:t>
                  </w:r>
                </w:p>
              </w:tc>
              <w:tc>
                <w:tcPr>
                  <w:tcW w:w="912" w:type="pct"/>
                  <w:tcBorders>
                    <w:tl2br w:val="nil"/>
                    <w:tr2bl w:val="nil"/>
                  </w:tcBorders>
                  <w:noWrap w:val="0"/>
                  <w:vAlign w:val="center"/>
                </w:tcPr>
                <w:p w14:paraId="4B18D992">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eastAsia="zh-CN"/>
                    </w:rPr>
                    <w:t>项目不</w:t>
                  </w:r>
                  <w:r>
                    <w:rPr>
                      <w:rFonts w:hint="default" w:ascii="Times New Roman" w:hAnsi="Times New Roman" w:eastAsia="宋体" w:cs="Times New Roman"/>
                      <w:color w:val="000000"/>
                      <w:sz w:val="21"/>
                      <w:szCs w:val="21"/>
                      <w:highlight w:val="none"/>
                      <w:vertAlign w:val="baseline"/>
                      <w:lang w:val="en-US" w:eastAsia="zh-CN"/>
                    </w:rPr>
                    <w:t>属于</w:t>
                  </w:r>
                  <w:r>
                    <w:rPr>
                      <w:rFonts w:hint="eastAsia" w:cs="Times New Roman"/>
                      <w:color w:val="000000"/>
                      <w:sz w:val="21"/>
                      <w:szCs w:val="21"/>
                      <w:highlight w:val="none"/>
                      <w:vertAlign w:val="baseline"/>
                      <w:lang w:val="en-US" w:eastAsia="zh-CN"/>
                    </w:rPr>
                    <w:t>三</w:t>
                  </w:r>
                  <w:r>
                    <w:rPr>
                      <w:rFonts w:hint="default" w:ascii="Times New Roman" w:hAnsi="Times New Roman" w:eastAsia="宋体" w:cs="Times New Roman"/>
                      <w:color w:val="000000"/>
                      <w:sz w:val="21"/>
                      <w:szCs w:val="21"/>
                      <w:highlight w:val="none"/>
                      <w:vertAlign w:val="baseline"/>
                      <w:lang w:val="en-US" w:eastAsia="zh-CN"/>
                    </w:rPr>
                    <w:t>类工业</w:t>
                  </w:r>
                </w:p>
              </w:tc>
              <w:tc>
                <w:tcPr>
                  <w:tcW w:w="421" w:type="pct"/>
                  <w:tcBorders>
                    <w:tl2br w:val="nil"/>
                    <w:tr2bl w:val="nil"/>
                  </w:tcBorders>
                  <w:noWrap w:val="0"/>
                  <w:vAlign w:val="center"/>
                </w:tcPr>
                <w:p w14:paraId="2E052DFD">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符合</w:t>
                  </w:r>
                </w:p>
              </w:tc>
            </w:tr>
            <w:tr w14:paraId="65458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pct"/>
                  <w:vMerge w:val="continue"/>
                  <w:tcBorders>
                    <w:tl2br w:val="nil"/>
                    <w:tr2bl w:val="nil"/>
                  </w:tcBorders>
                  <w:noWrap w:val="0"/>
                  <w:vAlign w:val="center"/>
                </w:tcPr>
                <w:p w14:paraId="7AC6A7F9">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c>
                <w:tcPr>
                  <w:tcW w:w="536" w:type="pct"/>
                  <w:vMerge w:val="continue"/>
                  <w:tcBorders>
                    <w:tl2br w:val="nil"/>
                    <w:tr2bl w:val="nil"/>
                  </w:tcBorders>
                  <w:noWrap w:val="0"/>
                  <w:vAlign w:val="center"/>
                </w:tcPr>
                <w:p w14:paraId="47578795">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c>
                <w:tcPr>
                  <w:tcW w:w="569" w:type="pct"/>
                  <w:vMerge w:val="continue"/>
                  <w:tcBorders>
                    <w:tl2br w:val="nil"/>
                    <w:tr2bl w:val="nil"/>
                  </w:tcBorders>
                  <w:noWrap w:val="0"/>
                  <w:vAlign w:val="center"/>
                </w:tcPr>
                <w:p w14:paraId="69C8F401">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c>
                <w:tcPr>
                  <w:tcW w:w="354" w:type="pct"/>
                  <w:tcBorders>
                    <w:tl2br w:val="nil"/>
                    <w:tr2bl w:val="nil"/>
                  </w:tcBorders>
                  <w:noWrap w:val="0"/>
                  <w:vAlign w:val="center"/>
                </w:tcPr>
                <w:p w14:paraId="303E4E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污染物排放管控</w:t>
                  </w:r>
                </w:p>
              </w:tc>
              <w:tc>
                <w:tcPr>
                  <w:tcW w:w="1636" w:type="pct"/>
                  <w:tcBorders>
                    <w:tl2br w:val="nil"/>
                    <w:tr2bl w:val="nil"/>
                  </w:tcBorders>
                  <w:noWrap w:val="0"/>
                  <w:vAlign w:val="center"/>
                </w:tcPr>
                <w:p w14:paraId="338F1171">
                  <w:pPr>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r>
                    <w:rPr>
                      <w:rFonts w:hint="eastAsia" w:ascii="Times New Roman" w:hAnsi="Times New Roman" w:eastAsia="宋体" w:cs="Times New Roman"/>
                      <w:color w:val="000000"/>
                      <w:kern w:val="0"/>
                      <w:sz w:val="21"/>
                      <w:szCs w:val="21"/>
                      <w:highlight w:val="none"/>
                      <w:lang w:eastAsia="zh-CN"/>
                    </w:rPr>
                    <w:t>涉新增</w:t>
                  </w:r>
                  <w:r>
                    <w:rPr>
                      <w:rFonts w:hint="eastAsia" w:ascii="Times New Roman" w:hAnsi="Times New Roman" w:eastAsia="宋体" w:cs="Times New Roman"/>
                      <w:color w:val="000000"/>
                      <w:kern w:val="0"/>
                      <w:sz w:val="21"/>
                      <w:szCs w:val="21"/>
                      <w:highlight w:val="none"/>
                      <w:lang w:val="en-US" w:eastAsia="zh-CN"/>
                    </w:rPr>
                    <w:t>VOCs排放项目，实施区域内VOCs排放1.2倍削减替代</w:t>
                  </w:r>
                  <w:r>
                    <w:rPr>
                      <w:rFonts w:hint="default" w:ascii="Times New Roman" w:hAnsi="Times New Roman" w:eastAsia="宋体" w:cs="Times New Roman"/>
                      <w:color w:val="000000"/>
                      <w:kern w:val="0"/>
                      <w:sz w:val="21"/>
                      <w:szCs w:val="21"/>
                      <w:highlight w:val="none"/>
                    </w:rPr>
                    <w:t>。</w:t>
                  </w:r>
                </w:p>
                <w:p w14:paraId="39F5E61C">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2.</w:t>
                  </w:r>
                  <w:r>
                    <w:rPr>
                      <w:rFonts w:hint="eastAsia" w:ascii="Times New Roman" w:hAnsi="Times New Roman" w:eastAsia="宋体" w:cs="Times New Roman"/>
                      <w:color w:val="000000"/>
                      <w:sz w:val="21"/>
                      <w:szCs w:val="21"/>
                      <w:highlight w:val="none"/>
                      <w:lang w:eastAsia="zh-CN"/>
                    </w:rPr>
                    <w:t>鼓励使用低</w:t>
                  </w:r>
                  <w:r>
                    <w:rPr>
                      <w:rFonts w:hint="eastAsia" w:ascii="Times New Roman" w:hAnsi="Times New Roman" w:eastAsia="宋体" w:cs="Times New Roman"/>
                      <w:color w:val="000000"/>
                      <w:sz w:val="21"/>
                      <w:szCs w:val="21"/>
                      <w:highlight w:val="none"/>
                      <w:lang w:val="en-US" w:eastAsia="zh-CN"/>
                    </w:rPr>
                    <w:t>VOCs含量的水性油墨、胶粘剂、涂料等，并根据废气成分、浓度、风量等参数选择适宜的治理技术</w:t>
                  </w:r>
                  <w:r>
                    <w:rPr>
                      <w:rFonts w:hint="default" w:ascii="Times New Roman" w:hAnsi="Times New Roman" w:eastAsia="宋体" w:cs="Times New Roman"/>
                      <w:color w:val="000000"/>
                      <w:kern w:val="0"/>
                      <w:sz w:val="21"/>
                      <w:szCs w:val="21"/>
                      <w:highlight w:val="none"/>
                    </w:rPr>
                    <w:t>。</w:t>
                  </w:r>
                </w:p>
                <w:p w14:paraId="6AB2EB17">
                  <w:pPr>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sz w:val="21"/>
                      <w:szCs w:val="21"/>
                      <w:highlight w:val="none"/>
                    </w:rPr>
                    <w:t>3.</w:t>
                  </w:r>
                  <w:r>
                    <w:rPr>
                      <w:rFonts w:hint="eastAsia" w:ascii="Times New Roman" w:hAnsi="Times New Roman" w:eastAsia="宋体" w:cs="Times New Roman"/>
                      <w:color w:val="000000"/>
                      <w:sz w:val="21"/>
                      <w:szCs w:val="21"/>
                      <w:highlight w:val="none"/>
                      <w:lang w:eastAsia="zh-CN"/>
                    </w:rPr>
                    <w:t>各类表面涂装和烘干等产生</w:t>
                  </w:r>
                  <w:r>
                    <w:rPr>
                      <w:rFonts w:hint="eastAsia" w:ascii="Times New Roman" w:hAnsi="Times New Roman" w:eastAsia="宋体" w:cs="Times New Roman"/>
                      <w:color w:val="000000"/>
                      <w:sz w:val="21"/>
                      <w:szCs w:val="21"/>
                      <w:highlight w:val="none"/>
                      <w:lang w:val="en-US" w:eastAsia="zh-CN"/>
                    </w:rPr>
                    <w:t>VOCs废气的生产工艺应尽可能设置于密闭工作间内，集中排风并导入VOCs污染控制设备进行处理</w:t>
                  </w:r>
                  <w:r>
                    <w:rPr>
                      <w:rFonts w:hint="default" w:ascii="Times New Roman" w:hAnsi="Times New Roman" w:eastAsia="宋体" w:cs="Times New Roman"/>
                      <w:color w:val="000000"/>
                      <w:sz w:val="21"/>
                      <w:szCs w:val="21"/>
                      <w:highlight w:val="none"/>
                    </w:rPr>
                    <w:t>。</w:t>
                  </w:r>
                </w:p>
              </w:tc>
              <w:tc>
                <w:tcPr>
                  <w:tcW w:w="912" w:type="pct"/>
                  <w:tcBorders>
                    <w:tl2br w:val="nil"/>
                    <w:tr2bl w:val="nil"/>
                  </w:tcBorders>
                  <w:noWrap w:val="0"/>
                  <w:vAlign w:val="center"/>
                </w:tcPr>
                <w:p w14:paraId="04E535C2">
                  <w:pPr>
                    <w:pStyle w:val="2"/>
                    <w:keepNext w:val="0"/>
                    <w:keepLines w:val="0"/>
                    <w:pageBreakBefore w:val="0"/>
                    <w:kinsoku/>
                    <w:wordWrap/>
                    <w:overflowPunct/>
                    <w:topLinePunct w:val="0"/>
                    <w:autoSpaceDE/>
                    <w:autoSpaceDN/>
                    <w:bidi w:val="0"/>
                    <w:spacing w:after="0" w:line="240" w:lineRule="auto"/>
                    <w:ind w:left="0" w:leftChars="0" w:firstLine="0" w:firstLineChars="0"/>
                    <w:jc w:val="both"/>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eastAsia="zh-CN"/>
                    </w:rPr>
                    <w:t>项目</w:t>
                  </w:r>
                  <w:r>
                    <w:rPr>
                      <w:rFonts w:hint="default" w:ascii="Times New Roman" w:hAnsi="Times New Roman" w:eastAsia="宋体" w:cs="Times New Roman"/>
                      <w:color w:val="000000"/>
                      <w:sz w:val="21"/>
                      <w:szCs w:val="21"/>
                      <w:highlight w:val="none"/>
                      <w:vertAlign w:val="baseline"/>
                      <w:lang w:val="en-US" w:eastAsia="zh-CN"/>
                    </w:rPr>
                    <w:t>主要从事</w:t>
                  </w:r>
                  <w:r>
                    <w:rPr>
                      <w:rFonts w:hint="eastAsia" w:ascii="Times New Roman" w:hAnsi="Times New Roman" w:eastAsia="宋体" w:cs="Times New Roman"/>
                      <w:color w:val="000000"/>
                      <w:sz w:val="21"/>
                      <w:szCs w:val="21"/>
                      <w:highlight w:val="none"/>
                      <w:vertAlign w:val="baseline"/>
                      <w:lang w:val="en-US" w:eastAsia="zh-CN"/>
                    </w:rPr>
                    <w:t>布料的丝印加工</w:t>
                  </w:r>
                  <w:r>
                    <w:rPr>
                      <w:rFonts w:hint="default" w:ascii="Times New Roman" w:hAnsi="Times New Roman" w:eastAsia="宋体" w:cs="Times New Roman"/>
                      <w:color w:val="000000"/>
                      <w:sz w:val="21"/>
                      <w:szCs w:val="21"/>
                      <w:highlight w:val="none"/>
                      <w:vertAlign w:val="baseline"/>
                      <w:lang w:val="en-US" w:eastAsia="zh-CN"/>
                    </w:rPr>
                    <w:t>，</w:t>
                  </w:r>
                  <w:r>
                    <w:rPr>
                      <w:rFonts w:hint="eastAsia" w:cs="Times New Roman"/>
                      <w:color w:val="000000"/>
                      <w:sz w:val="21"/>
                      <w:szCs w:val="21"/>
                      <w:highlight w:val="none"/>
                      <w:vertAlign w:val="baseline"/>
                      <w:lang w:val="en-US" w:eastAsia="zh-CN"/>
                    </w:rPr>
                    <w:t>新增VOCs排放实施区域内VOCs排放1.2倍削减替代，项目使用的胶浆、色种等原料均为水性原料；项目调浆、丝印、烘干等产生VOCs废气的生产工艺设置于密闭工作间，并在上方设置集气罩，经收集后通过一套“活性炭吸附”装置处理后通过一根25m高排气筒排放。</w:t>
                  </w:r>
                </w:p>
              </w:tc>
              <w:tc>
                <w:tcPr>
                  <w:tcW w:w="421" w:type="pct"/>
                  <w:tcBorders>
                    <w:tl2br w:val="nil"/>
                    <w:tr2bl w:val="nil"/>
                  </w:tcBorders>
                  <w:noWrap w:val="0"/>
                  <w:vAlign w:val="center"/>
                </w:tcPr>
                <w:p w14:paraId="17AA5A32">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符合</w:t>
                  </w:r>
                </w:p>
              </w:tc>
            </w:tr>
            <w:tr w14:paraId="726F8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pct"/>
                  <w:vMerge w:val="continue"/>
                  <w:tcBorders>
                    <w:tl2br w:val="nil"/>
                    <w:tr2bl w:val="nil"/>
                  </w:tcBorders>
                  <w:noWrap w:val="0"/>
                  <w:vAlign w:val="center"/>
                </w:tcPr>
                <w:p w14:paraId="0DB9B6E3">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c>
                <w:tcPr>
                  <w:tcW w:w="536" w:type="pct"/>
                  <w:vMerge w:val="continue"/>
                  <w:tcBorders>
                    <w:tl2br w:val="nil"/>
                    <w:tr2bl w:val="nil"/>
                  </w:tcBorders>
                  <w:noWrap w:val="0"/>
                  <w:vAlign w:val="center"/>
                </w:tcPr>
                <w:p w14:paraId="50733972">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c>
                <w:tcPr>
                  <w:tcW w:w="569" w:type="pct"/>
                  <w:vMerge w:val="continue"/>
                  <w:tcBorders>
                    <w:tl2br w:val="nil"/>
                    <w:tr2bl w:val="nil"/>
                  </w:tcBorders>
                  <w:noWrap w:val="0"/>
                  <w:vAlign w:val="center"/>
                </w:tcPr>
                <w:p w14:paraId="58265BEF">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c>
                <w:tcPr>
                  <w:tcW w:w="354" w:type="pct"/>
                  <w:tcBorders>
                    <w:tl2br w:val="nil"/>
                    <w:tr2bl w:val="nil"/>
                  </w:tcBorders>
                  <w:noWrap w:val="0"/>
                  <w:vAlign w:val="center"/>
                </w:tcPr>
                <w:p w14:paraId="44E9C6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环境风险防控</w:t>
                  </w:r>
                </w:p>
              </w:tc>
              <w:tc>
                <w:tcPr>
                  <w:tcW w:w="1636" w:type="pct"/>
                  <w:tcBorders>
                    <w:tl2br w:val="nil"/>
                    <w:tr2bl w:val="nil"/>
                  </w:tcBorders>
                  <w:noWrap w:val="0"/>
                  <w:vAlign w:val="center"/>
                </w:tcPr>
                <w:p w14:paraId="5DBDBFB7">
                  <w:pPr>
                    <w:keepNext w:val="0"/>
                    <w:keepLines w:val="0"/>
                    <w:pageBreakBefore w:val="0"/>
                    <w:kinsoku/>
                    <w:wordWrap/>
                    <w:overflowPunct/>
                    <w:topLinePunct w:val="0"/>
                    <w:autoSpaceDE/>
                    <w:autoSpaceDN/>
                    <w:bidi w:val="0"/>
                    <w:snapToGrid w:val="0"/>
                    <w:ind w:firstLine="0" w:firstLineChars="0"/>
                    <w:jc w:val="left"/>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建立健全环境风险防控体系，制定环境风险应急预案，建立完善有效的环境风险防控设施和有效的拦截、降污、导流等措施，防止泄漏物和事故废水污染地表水、地下水和土壤环境。</w:t>
                  </w:r>
                </w:p>
              </w:tc>
              <w:tc>
                <w:tcPr>
                  <w:tcW w:w="912" w:type="pct"/>
                  <w:tcBorders>
                    <w:tl2br w:val="nil"/>
                    <w:tr2bl w:val="nil"/>
                  </w:tcBorders>
                  <w:noWrap w:val="0"/>
                  <w:vAlign w:val="center"/>
                </w:tcPr>
                <w:p w14:paraId="0CC293FD">
                  <w:pPr>
                    <w:pStyle w:val="2"/>
                    <w:keepNext w:val="0"/>
                    <w:keepLines w:val="0"/>
                    <w:pageBreakBefore w:val="0"/>
                    <w:kinsoku/>
                    <w:wordWrap/>
                    <w:overflowPunct/>
                    <w:topLinePunct w:val="0"/>
                    <w:autoSpaceDE/>
                    <w:autoSpaceDN/>
                    <w:bidi w:val="0"/>
                    <w:spacing w:after="0" w:line="240" w:lineRule="auto"/>
                    <w:ind w:left="0" w:leftChars="0" w:firstLine="0" w:firstLineChars="0"/>
                    <w:jc w:val="both"/>
                    <w:textAlignment w:val="auto"/>
                    <w:rPr>
                      <w:rFonts w:hint="eastAsia"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项目</w:t>
                  </w:r>
                  <w:r>
                    <w:rPr>
                      <w:rFonts w:hint="default" w:ascii="Times New Roman" w:hAnsi="Times New Roman" w:eastAsia="宋体" w:cs="Times New Roman"/>
                      <w:color w:val="000000"/>
                      <w:sz w:val="21"/>
                      <w:szCs w:val="21"/>
                      <w:highlight w:val="none"/>
                      <w:vertAlign w:val="baseline"/>
                      <w:lang w:val="en-US" w:eastAsia="zh-CN"/>
                    </w:rPr>
                    <w:t>拟</w:t>
                  </w:r>
                  <w:r>
                    <w:rPr>
                      <w:rFonts w:hint="default" w:ascii="Times New Roman" w:hAnsi="Times New Roman" w:eastAsia="宋体" w:cs="Times New Roman"/>
                      <w:color w:val="000000"/>
                      <w:sz w:val="21"/>
                      <w:szCs w:val="21"/>
                      <w:highlight w:val="none"/>
                      <w:vertAlign w:val="baseline"/>
                    </w:rPr>
                    <w:t>采取的风险防范措施可行，环境风险可防控</w:t>
                  </w:r>
                  <w:r>
                    <w:rPr>
                      <w:rFonts w:hint="eastAsia" w:ascii="Times New Roman" w:hAnsi="Times New Roman" w:eastAsia="宋体" w:cs="Times New Roman"/>
                      <w:color w:val="000000"/>
                      <w:sz w:val="21"/>
                      <w:szCs w:val="21"/>
                      <w:highlight w:val="none"/>
                      <w:vertAlign w:val="baseline"/>
                      <w:lang w:eastAsia="zh-CN"/>
                    </w:rPr>
                    <w:t>。</w:t>
                  </w:r>
                </w:p>
              </w:tc>
              <w:tc>
                <w:tcPr>
                  <w:tcW w:w="421" w:type="pct"/>
                  <w:tcBorders>
                    <w:tl2br w:val="nil"/>
                    <w:tr2bl w:val="nil"/>
                  </w:tcBorders>
                  <w:noWrap w:val="0"/>
                  <w:vAlign w:val="center"/>
                </w:tcPr>
                <w:p w14:paraId="5D7ADA62">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eastAsia="zh-CN"/>
                    </w:rPr>
                    <w:t>符合</w:t>
                  </w:r>
                </w:p>
              </w:tc>
            </w:tr>
            <w:tr w14:paraId="38D76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pct"/>
                  <w:vMerge w:val="continue"/>
                  <w:tcBorders>
                    <w:tl2br w:val="nil"/>
                    <w:tr2bl w:val="nil"/>
                  </w:tcBorders>
                  <w:noWrap w:val="0"/>
                  <w:vAlign w:val="center"/>
                </w:tcPr>
                <w:p w14:paraId="462A78EE">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c>
                <w:tcPr>
                  <w:tcW w:w="536" w:type="pct"/>
                  <w:vMerge w:val="continue"/>
                  <w:tcBorders>
                    <w:tl2br w:val="nil"/>
                    <w:tr2bl w:val="nil"/>
                  </w:tcBorders>
                  <w:noWrap w:val="0"/>
                  <w:vAlign w:val="center"/>
                </w:tcPr>
                <w:p w14:paraId="1FDFA0F1">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c>
                <w:tcPr>
                  <w:tcW w:w="569" w:type="pct"/>
                  <w:vMerge w:val="continue"/>
                  <w:tcBorders>
                    <w:tl2br w:val="nil"/>
                    <w:tr2bl w:val="nil"/>
                  </w:tcBorders>
                  <w:noWrap w:val="0"/>
                  <w:vAlign w:val="center"/>
                </w:tcPr>
                <w:p w14:paraId="0AF92AAB">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c>
                <w:tcPr>
                  <w:tcW w:w="354" w:type="pct"/>
                  <w:tcBorders>
                    <w:tl2br w:val="nil"/>
                    <w:tr2bl w:val="nil"/>
                  </w:tcBorders>
                  <w:noWrap w:val="0"/>
                  <w:vAlign w:val="center"/>
                </w:tcPr>
                <w:p w14:paraId="5897002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资源开发效率要求</w:t>
                  </w:r>
                </w:p>
              </w:tc>
              <w:tc>
                <w:tcPr>
                  <w:tcW w:w="1636" w:type="pct"/>
                  <w:tcBorders>
                    <w:tl2br w:val="nil"/>
                    <w:tr2bl w:val="nil"/>
                  </w:tcBorders>
                  <w:noWrap w:val="0"/>
                  <w:vAlign w:val="center"/>
                </w:tcPr>
                <w:p w14:paraId="79E9744A">
                  <w:pPr>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eastAsia="zh-CN"/>
                    </w:rPr>
                    <w:t>禁止使用高污染燃料，禁止新建、扩建、迁建燃用高污染燃料的设施</w:t>
                  </w:r>
                  <w:r>
                    <w:rPr>
                      <w:rFonts w:hint="default" w:ascii="Times New Roman" w:hAnsi="Times New Roman" w:eastAsia="宋体" w:cs="Times New Roman"/>
                      <w:color w:val="000000"/>
                      <w:sz w:val="21"/>
                      <w:szCs w:val="21"/>
                      <w:highlight w:val="none"/>
                    </w:rPr>
                    <w:t>。</w:t>
                  </w:r>
                </w:p>
              </w:tc>
              <w:tc>
                <w:tcPr>
                  <w:tcW w:w="912" w:type="pct"/>
                  <w:tcBorders>
                    <w:tl2br w:val="nil"/>
                    <w:tr2bl w:val="nil"/>
                  </w:tcBorders>
                  <w:noWrap w:val="0"/>
                  <w:vAlign w:val="center"/>
                </w:tcPr>
                <w:p w14:paraId="43E57573">
                  <w:pPr>
                    <w:pStyle w:val="2"/>
                    <w:keepNext w:val="0"/>
                    <w:keepLines w:val="0"/>
                    <w:pageBreakBefore w:val="0"/>
                    <w:kinsoku/>
                    <w:wordWrap/>
                    <w:overflowPunct/>
                    <w:topLinePunct w:val="0"/>
                    <w:autoSpaceDE/>
                    <w:autoSpaceDN/>
                    <w:bidi w:val="0"/>
                    <w:spacing w:after="0" w:line="240" w:lineRule="auto"/>
                    <w:ind w:left="0" w:leftChars="0" w:firstLine="0" w:firstLineChars="0"/>
                    <w:jc w:val="both"/>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项目</w:t>
                  </w:r>
                  <w:r>
                    <w:rPr>
                      <w:rFonts w:hint="eastAsia" w:cs="Times New Roman"/>
                      <w:color w:val="000000"/>
                      <w:sz w:val="21"/>
                      <w:szCs w:val="21"/>
                      <w:highlight w:val="none"/>
                      <w:vertAlign w:val="baseline"/>
                      <w:lang w:val="en-US" w:eastAsia="zh-CN"/>
                    </w:rPr>
                    <w:t>烘干工序使用液化石油气作为燃料，液化石油气属于清洁能源，不属于高污染燃料</w:t>
                  </w:r>
                  <w:r>
                    <w:rPr>
                      <w:rFonts w:hint="eastAsia" w:ascii="Times New Roman" w:hAnsi="Times New Roman" w:eastAsia="宋体" w:cs="Times New Roman"/>
                      <w:color w:val="000000"/>
                      <w:sz w:val="21"/>
                      <w:szCs w:val="21"/>
                      <w:highlight w:val="none"/>
                      <w:vertAlign w:val="baseline"/>
                      <w:lang w:val="en-US" w:eastAsia="zh-CN"/>
                    </w:rPr>
                    <w:t>。</w:t>
                  </w:r>
                </w:p>
              </w:tc>
              <w:tc>
                <w:tcPr>
                  <w:tcW w:w="421" w:type="pct"/>
                  <w:tcBorders>
                    <w:tl2br w:val="nil"/>
                    <w:tr2bl w:val="nil"/>
                  </w:tcBorders>
                  <w:noWrap w:val="0"/>
                  <w:vAlign w:val="center"/>
                </w:tcPr>
                <w:p w14:paraId="2B3307B0">
                  <w:pPr>
                    <w:pStyle w:val="2"/>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符合</w:t>
                  </w:r>
                </w:p>
              </w:tc>
            </w:tr>
          </w:tbl>
          <w:p w14:paraId="29C42440">
            <w:pPr>
              <w:pStyle w:val="16"/>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firstLine="480" w:firstLineChars="200"/>
              <w:jc w:val="both"/>
              <w:textAlignment w:val="auto"/>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综上分析，项目的建设符合“三线一单”的控制要求。</w:t>
            </w:r>
          </w:p>
          <w:p w14:paraId="2E8BAC48">
            <w:pPr>
              <w:pStyle w:val="12"/>
              <w:widowControl w:val="0"/>
              <w:spacing w:before="0" w:beforeLines="0" w:after="0" w:afterLines="0" w:line="360" w:lineRule="auto"/>
              <w:ind w:right="0"/>
              <w:jc w:val="both"/>
              <w:rPr>
                <w:rFonts w:hint="default" w:ascii="Times New Roman" w:hAnsi="Times New Roman" w:eastAsia="宋体" w:cs="Times New Roman"/>
                <w:b/>
                <w:color w:val="000000"/>
                <w:kern w:val="2"/>
                <w:sz w:val="28"/>
                <w:szCs w:val="28"/>
                <w:highlight w:val="none"/>
                <w:lang w:val="en-US" w:eastAsia="zh-CN" w:bidi="ar-SA"/>
              </w:rPr>
            </w:pPr>
            <w:r>
              <w:rPr>
                <w:rFonts w:hint="default" w:ascii="Times New Roman" w:hAnsi="Times New Roman" w:eastAsia="宋体" w:cs="Times New Roman"/>
                <w:b/>
                <w:color w:val="000000"/>
                <w:kern w:val="2"/>
                <w:sz w:val="28"/>
                <w:szCs w:val="28"/>
                <w:highlight w:val="none"/>
                <w:lang w:val="en-US" w:eastAsia="zh-CN" w:bidi="ar-SA"/>
              </w:rPr>
              <w:t>1.</w:t>
            </w:r>
            <w:r>
              <w:rPr>
                <w:rFonts w:hint="eastAsia" w:ascii="Times New Roman" w:hAnsi="Times New Roman" w:eastAsia="宋体" w:cs="Times New Roman"/>
                <w:b/>
                <w:color w:val="000000"/>
                <w:kern w:val="2"/>
                <w:sz w:val="28"/>
                <w:szCs w:val="28"/>
                <w:highlight w:val="none"/>
                <w:lang w:val="en-US" w:eastAsia="zh-CN" w:bidi="ar-SA"/>
              </w:rPr>
              <w:t>3与</w:t>
            </w:r>
            <w:r>
              <w:rPr>
                <w:rFonts w:hint="default" w:ascii="Times New Roman" w:hAnsi="Times New Roman" w:eastAsia="宋体" w:cs="Times New Roman"/>
                <w:b/>
                <w:color w:val="000000"/>
                <w:kern w:val="2"/>
                <w:sz w:val="28"/>
                <w:szCs w:val="28"/>
                <w:highlight w:val="none"/>
                <w:lang w:val="en-US" w:eastAsia="zh-CN" w:bidi="ar-SA"/>
              </w:rPr>
              <w:t>挥发性有机物污染防治相关要求的符合性分析</w:t>
            </w:r>
          </w:p>
          <w:p w14:paraId="627F5CB8">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对照目前已发布的挥发性有机物污染防治相关工作方案，主要包括《重点行业挥发性有机物综合治理方案》(环大气[2019]53 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关于建立 VOCs废气综合治理长效机制的通知</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(泉环委函 201813 号)、GB37822-2019《挥发性有机物无组织排放控制标准》、《福建省 2020 年挥发性有机物治理攻坚实施方案》等，经分析，本项目建设基本符合上述挥发性有机物污染防治的相关环保政策方案的相关要求，详见表1-</w:t>
            </w:r>
            <w:r>
              <w:rPr>
                <w:rFonts w:hint="eastAsia"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w:t>
            </w:r>
          </w:p>
          <w:p w14:paraId="62BD8C31">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p>
          <w:p w14:paraId="4E815E69">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p>
          <w:p w14:paraId="492945DA">
            <w:pPr>
              <w:keepNext w:val="0"/>
              <w:keepLines w:val="0"/>
              <w:widowControl/>
              <w:suppressLineNumbers w:val="0"/>
              <w:spacing w:before="0" w:beforeLines="0" w:beforeAutospacing="0" w:after="0" w:afterAutospacing="0"/>
              <w:ind w:left="0" w:right="0"/>
              <w:jc w:val="center"/>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表1-</w:t>
            </w:r>
            <w:r>
              <w:rPr>
                <w:rFonts w:hint="eastAsia" w:cs="Times New Roman"/>
                <w:b/>
                <w:bCs/>
                <w:color w:val="auto"/>
                <w:kern w:val="2"/>
                <w:sz w:val="24"/>
                <w:szCs w:val="24"/>
                <w:highlight w:val="none"/>
                <w:lang w:val="en-US" w:eastAsia="zh-CN" w:bidi="ar"/>
              </w:rPr>
              <w:t>4</w:t>
            </w:r>
            <w:r>
              <w:rPr>
                <w:rFonts w:hint="eastAsia"/>
                <w:b/>
                <w:bCs/>
                <w:color w:val="auto"/>
                <w:sz w:val="24"/>
                <w:highlight w:val="none"/>
                <w:lang w:bidi="ar"/>
              </w:rPr>
              <w:t>项目与挥发性有机物相关环保政策的符合性分析</w:t>
            </w:r>
          </w:p>
          <w:tbl>
            <w:tblPr>
              <w:tblStyle w:val="26"/>
              <w:tblW w:w="59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4"/>
              <w:gridCol w:w="3455"/>
              <w:gridCol w:w="1234"/>
              <w:gridCol w:w="557"/>
            </w:tblGrid>
            <w:tr w14:paraId="098D19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dxa"/>
                  <w:tcBorders>
                    <w:tl2br w:val="nil"/>
                    <w:tr2bl w:val="nil"/>
                  </w:tcBorders>
                  <w:noWrap w:val="0"/>
                  <w:vAlign w:val="center"/>
                </w:tcPr>
                <w:p w14:paraId="707ED53E">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政策名称</w:t>
                  </w:r>
                </w:p>
              </w:tc>
              <w:tc>
                <w:tcPr>
                  <w:tcW w:w="3455" w:type="dxa"/>
                  <w:tcBorders>
                    <w:tl2br w:val="nil"/>
                    <w:tr2bl w:val="nil"/>
                  </w:tcBorders>
                  <w:noWrap w:val="0"/>
                  <w:vAlign w:val="center"/>
                </w:tcPr>
                <w:p w14:paraId="65381BD9">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相关技术规范要求</w:t>
                  </w:r>
                </w:p>
              </w:tc>
              <w:tc>
                <w:tcPr>
                  <w:tcW w:w="1234" w:type="dxa"/>
                  <w:tcBorders>
                    <w:tl2br w:val="nil"/>
                    <w:tr2bl w:val="nil"/>
                  </w:tcBorders>
                  <w:noWrap w:val="0"/>
                  <w:vAlign w:val="center"/>
                </w:tcPr>
                <w:p w14:paraId="6B81388E">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本项目情况</w:t>
                  </w:r>
                </w:p>
              </w:tc>
              <w:tc>
                <w:tcPr>
                  <w:tcW w:w="557" w:type="dxa"/>
                  <w:tcBorders>
                    <w:tl2br w:val="nil"/>
                    <w:tr2bl w:val="nil"/>
                  </w:tcBorders>
                  <w:noWrap w:val="0"/>
                  <w:vAlign w:val="center"/>
                </w:tcPr>
                <w:p w14:paraId="22AC2AE1">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符合性</w:t>
                  </w:r>
                </w:p>
              </w:tc>
            </w:tr>
            <w:tr w14:paraId="16587E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dxa"/>
                  <w:tcBorders>
                    <w:tl2br w:val="nil"/>
                    <w:tr2bl w:val="nil"/>
                  </w:tcBorders>
                  <w:noWrap w:val="0"/>
                  <w:vAlign w:val="center"/>
                </w:tcPr>
                <w:p w14:paraId="6B825487">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highlight w:val="none"/>
                    </w:rPr>
                    <w:t>重点行业挥发性有机物综合治理方案</w:t>
                  </w:r>
                </w:p>
              </w:tc>
              <w:tc>
                <w:tcPr>
                  <w:tcW w:w="3455" w:type="dxa"/>
                  <w:tcBorders>
                    <w:tl2br w:val="nil"/>
                    <w:tr2bl w:val="nil"/>
                  </w:tcBorders>
                  <w:noWrap w:val="0"/>
                  <w:vAlign w:val="center"/>
                </w:tcPr>
                <w:p w14:paraId="5674CD3C">
                  <w:pPr>
                    <w:keepNext w:val="0"/>
                    <w:keepLines w:val="0"/>
                    <w:suppressLineNumbers w:val="0"/>
                    <w:adjustRightInd w:val="0"/>
                    <w:snapToGrid w:val="0"/>
                    <w:spacing w:before="0" w:beforeLines="0" w:beforeAutospacing="0" w:after="0" w:afterLines="0" w:afterAutospacing="0"/>
                    <w:ind w:left="0" w:right="0" w:firstLine="0" w:firstLineChars="0"/>
                    <w:jc w:val="both"/>
                    <w:rPr>
                      <w:rFonts w:hint="default"/>
                      <w:color w:val="auto"/>
                      <w:kern w:val="0"/>
                      <w:sz w:val="21"/>
                      <w:szCs w:val="21"/>
                      <w:highlight w:val="none"/>
                    </w:rPr>
                  </w:pPr>
                  <w:r>
                    <w:rPr>
                      <w:rFonts w:hint="default"/>
                      <w:color w:val="auto"/>
                      <w:kern w:val="0"/>
                      <w:sz w:val="21"/>
                      <w:szCs w:val="21"/>
                      <w:highlight w:val="none"/>
                    </w:rPr>
                    <w:t>1、加强设备与场所密闭管理，含VOCs物料应储存于密闭容器、包装袋，高效密封储罐等。</w:t>
                  </w:r>
                </w:p>
                <w:p w14:paraId="527DBBC3">
                  <w:pPr>
                    <w:keepNext w:val="0"/>
                    <w:keepLines w:val="0"/>
                    <w:suppressLineNumbers w:val="0"/>
                    <w:adjustRightInd w:val="0"/>
                    <w:snapToGrid w:val="0"/>
                    <w:spacing w:before="0" w:beforeLines="0" w:beforeAutospacing="0" w:after="0" w:afterLines="0" w:afterAutospacing="0"/>
                    <w:ind w:left="0" w:right="0" w:firstLine="0" w:firstLineChars="0"/>
                    <w:jc w:val="both"/>
                    <w:rPr>
                      <w:rFonts w:hint="default"/>
                      <w:color w:val="auto"/>
                      <w:kern w:val="0"/>
                      <w:sz w:val="21"/>
                      <w:szCs w:val="21"/>
                      <w:highlight w:val="none"/>
                    </w:rPr>
                  </w:pPr>
                  <w:r>
                    <w:rPr>
                      <w:rFonts w:hint="default"/>
                      <w:color w:val="auto"/>
                      <w:kern w:val="0"/>
                      <w:sz w:val="21"/>
                      <w:szCs w:val="21"/>
                      <w:highlight w:val="none"/>
                    </w:rPr>
                    <w:t>2、推进使用先进生产工艺，通过采用全密闭、连续化、自动化等生产技术以及高效工艺与设备等，减少工艺过程无组织排放。</w:t>
                  </w:r>
                </w:p>
                <w:p w14:paraId="6DAC2797">
                  <w:pPr>
                    <w:keepNext w:val="0"/>
                    <w:keepLines w:val="0"/>
                    <w:suppressLineNumbers w:val="0"/>
                    <w:adjustRightInd w:val="0"/>
                    <w:snapToGrid w:val="0"/>
                    <w:spacing w:before="0" w:beforeLines="0" w:beforeAutospacing="0" w:after="0" w:afterLines="0" w:afterAutospacing="0"/>
                    <w:ind w:left="0" w:right="0"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default"/>
                      <w:color w:val="auto"/>
                      <w:kern w:val="0"/>
                      <w:sz w:val="21"/>
                      <w:szCs w:val="21"/>
                      <w:highlight w:val="none"/>
                    </w:rPr>
                    <w:t>3、提高废气收集率，遵循“应收尽收、分质收集”的原则，科学设计废气收集系统将无组织排放转变为有组织排放进行控制</w:t>
                  </w:r>
                  <w:r>
                    <w:rPr>
                      <w:rFonts w:hint="eastAsia" w:ascii="Times New Roman" w:hAnsi="Times New Roman" w:eastAsia="宋体" w:cs="Times New Roman"/>
                      <w:color w:val="auto"/>
                      <w:kern w:val="0"/>
                      <w:sz w:val="21"/>
                      <w:szCs w:val="21"/>
                      <w:highlight w:val="none"/>
                      <w:lang w:val="en-US" w:eastAsia="zh-CN"/>
                    </w:rPr>
                    <w:t>。</w:t>
                  </w:r>
                </w:p>
              </w:tc>
              <w:tc>
                <w:tcPr>
                  <w:tcW w:w="1234" w:type="dxa"/>
                  <w:vMerge w:val="restart"/>
                  <w:tcBorders>
                    <w:tl2br w:val="nil"/>
                    <w:tr2bl w:val="nil"/>
                  </w:tcBorders>
                  <w:noWrap w:val="0"/>
                  <w:vAlign w:val="center"/>
                </w:tcPr>
                <w:p w14:paraId="26C76A1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firstLine="0" w:firstLineChars="0"/>
                    <w:jc w:val="both"/>
                    <w:textAlignment w:val="auto"/>
                    <w:rPr>
                      <w:rFonts w:hint="eastAsia"/>
                      <w:highlight w:val="none"/>
                      <w:lang w:eastAsia="zh-CN"/>
                    </w:rPr>
                  </w:pPr>
                  <w:r>
                    <w:rPr>
                      <w:rFonts w:hint="eastAsia" w:ascii="Times New Roman" w:hAnsi="Times New Roman" w:eastAsia="宋体" w:cs="Times New Roman"/>
                      <w:sz w:val="21"/>
                      <w:szCs w:val="21"/>
                      <w:highlight w:val="none"/>
                    </w:rPr>
                    <w:t>1、本项目位于</w:t>
                  </w:r>
                  <w:r>
                    <w:rPr>
                      <w:rFonts w:hint="eastAsia" w:cs="Times New Roman"/>
                      <w:sz w:val="21"/>
                      <w:szCs w:val="21"/>
                      <w:highlight w:val="none"/>
                      <w:lang w:val="en-US" w:eastAsia="zh-CN"/>
                    </w:rPr>
                    <w:t>福建省泉州市鲤城区紫安路1号</w:t>
                  </w:r>
                  <w:r>
                    <w:rPr>
                      <w:rFonts w:hint="eastAsia" w:ascii="Times New Roman" w:hAnsi="Times New Roman" w:eastAsia="宋体" w:cs="Times New Roman"/>
                      <w:sz w:val="21"/>
                      <w:szCs w:val="21"/>
                      <w:highlight w:val="none"/>
                    </w:rPr>
                    <w:t>，用地</w:t>
                  </w:r>
                  <w:r>
                    <w:rPr>
                      <w:rFonts w:hint="eastAsia" w:ascii="Times New Roman" w:hAnsi="Times New Roman" w:eastAsia="宋体" w:cs="Times New Roman"/>
                      <w:sz w:val="21"/>
                      <w:szCs w:val="21"/>
                      <w:highlight w:val="none"/>
                      <w:lang w:eastAsia="zh-CN"/>
                    </w:rPr>
                    <w:t>符合泉州高新技术产业园区规划要求。</w:t>
                  </w:r>
                </w:p>
                <w:p w14:paraId="48367A6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firstLine="0" w:firstLineChars="0"/>
                    <w:jc w:val="both"/>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2、项目生产时关闭车间门窗，在</w:t>
                  </w:r>
                  <w:r>
                    <w:rPr>
                      <w:rFonts w:hint="eastAsia" w:cs="Times New Roman"/>
                      <w:sz w:val="21"/>
                      <w:szCs w:val="21"/>
                      <w:highlight w:val="none"/>
                      <w:lang w:eastAsia="zh-CN"/>
                    </w:rPr>
                    <w:t>调浆、丝印、烘干等</w:t>
                  </w:r>
                  <w:r>
                    <w:rPr>
                      <w:rFonts w:hint="eastAsia" w:ascii="Times New Roman" w:hAnsi="Times New Roman" w:eastAsia="宋体" w:cs="Times New Roman"/>
                      <w:sz w:val="21"/>
                      <w:szCs w:val="21"/>
                      <w:highlight w:val="none"/>
                    </w:rPr>
                    <w:t>废气产生工序设置集气装置，并</w:t>
                  </w:r>
                  <w:r>
                    <w:rPr>
                      <w:rFonts w:hint="eastAsia" w:ascii="Times New Roman" w:hAnsi="Times New Roman" w:eastAsia="宋体" w:cs="Times New Roman"/>
                      <w:sz w:val="21"/>
                      <w:szCs w:val="21"/>
                      <w:highlight w:val="none"/>
                      <w:lang w:eastAsia="zh-CN"/>
                    </w:rPr>
                    <w:t>通过一套“活性炭吸附装置”进行处理，最后通过</w:t>
                  </w:r>
                  <w:r>
                    <w:rPr>
                      <w:rFonts w:hint="eastAsia" w:ascii="Times New Roman" w:hAnsi="Times New Roman" w:eastAsia="宋体" w:cs="Times New Roman"/>
                      <w:sz w:val="21"/>
                      <w:szCs w:val="21"/>
                      <w:highlight w:val="none"/>
                      <w:lang w:val="en-US" w:eastAsia="zh-CN"/>
                    </w:rPr>
                    <w:t>1根2</w:t>
                  </w:r>
                  <w:r>
                    <w:rPr>
                      <w:rFonts w:hint="eastAsia"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米高的排气筒排放</w:t>
                  </w:r>
                  <w:r>
                    <w:rPr>
                      <w:rFonts w:hint="eastAsia" w:ascii="Times New Roman" w:hAnsi="Times New Roman" w:eastAsia="宋体" w:cs="Times New Roman"/>
                      <w:sz w:val="21"/>
                      <w:szCs w:val="21"/>
                      <w:highlight w:val="none"/>
                    </w:rPr>
                    <w:t>，生产设备与其配套环保措施同启同停，净化技术工艺技术可行。</w:t>
                  </w:r>
                </w:p>
                <w:p w14:paraId="737E7DB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firstLine="0" w:firstLineChars="0"/>
                    <w:jc w:val="both"/>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3、项目含VOCs物料均存放于室内的原料仓库内。</w:t>
                  </w:r>
                </w:p>
                <w:p w14:paraId="5B82B99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firstLine="0" w:firstLineChars="0"/>
                    <w:jc w:val="both"/>
                    <w:textAlignment w:val="auto"/>
                    <w:rPr>
                      <w:rFonts w:hint="eastAsia" w:ascii="Times New Roman" w:hAnsi="Times New Roman" w:eastAsia="宋体" w:cs="Times New Roman"/>
                      <w:sz w:val="21"/>
                      <w:szCs w:val="21"/>
                      <w:highlight w:val="none"/>
                    </w:rPr>
                  </w:pPr>
                  <w:r>
                    <w:rPr>
                      <w:rFonts w:hint="eastAsia" w:cs="Times New Roman"/>
                      <w:sz w:val="21"/>
                      <w:szCs w:val="21"/>
                      <w:highlight w:val="none"/>
                      <w:lang w:val="en-US" w:eastAsia="zh-CN"/>
                    </w:rPr>
                    <w:t>4</w:t>
                  </w:r>
                  <w:r>
                    <w:rPr>
                      <w:rFonts w:hint="eastAsia"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项目使用的胶浆、固色剂均为环保材料，有效减少VOCs产生</w:t>
                  </w:r>
                  <w:r>
                    <w:rPr>
                      <w:rFonts w:hint="eastAsia" w:ascii="Times New Roman" w:hAnsi="Times New Roman" w:eastAsia="宋体" w:cs="Times New Roman"/>
                      <w:sz w:val="21"/>
                      <w:szCs w:val="21"/>
                      <w:highlight w:val="none"/>
                    </w:rPr>
                    <w:t>。</w:t>
                  </w:r>
                </w:p>
                <w:p w14:paraId="715887F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firstLine="0" w:firstLineChars="0"/>
                    <w:jc w:val="both"/>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、项目废气处理设施运行故障时，立即暂停生产，进行环保设备检修，检修完毕后方可恢复生产运营。</w:t>
                  </w:r>
                </w:p>
              </w:tc>
              <w:tc>
                <w:tcPr>
                  <w:tcW w:w="557" w:type="dxa"/>
                  <w:tcBorders>
                    <w:tl2br w:val="nil"/>
                    <w:tr2bl w:val="nil"/>
                  </w:tcBorders>
                  <w:noWrap w:val="0"/>
                  <w:vAlign w:val="center"/>
                </w:tcPr>
                <w:p w14:paraId="0426793C">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符合</w:t>
                  </w:r>
                </w:p>
              </w:tc>
            </w:tr>
            <w:tr w14:paraId="33ABDE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dxa"/>
                  <w:tcBorders>
                    <w:tl2br w:val="nil"/>
                    <w:tr2bl w:val="nil"/>
                  </w:tcBorders>
                  <w:noWrap w:val="0"/>
                  <w:vAlign w:val="center"/>
                </w:tcPr>
                <w:p w14:paraId="17F2EA0F">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eastAsia"/>
                      <w:color w:val="auto"/>
                      <w:kern w:val="0"/>
                      <w:sz w:val="21"/>
                      <w:szCs w:val="21"/>
                      <w:highlight w:val="none"/>
                    </w:rPr>
                  </w:pPr>
                  <w:r>
                    <w:rPr>
                      <w:rFonts w:hint="eastAsia"/>
                      <w:color w:val="auto"/>
                      <w:kern w:val="0"/>
                      <w:sz w:val="21"/>
                      <w:szCs w:val="21"/>
                      <w:highlight w:val="none"/>
                    </w:rPr>
                    <w:t>关于建立</w:t>
                  </w:r>
                </w:p>
                <w:p w14:paraId="1D0B8039">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highlight w:val="none"/>
                    </w:rPr>
                    <w:t>VOCs 废气综合治理长效机制的通知</w:t>
                  </w:r>
                </w:p>
              </w:tc>
              <w:tc>
                <w:tcPr>
                  <w:tcW w:w="3455" w:type="dxa"/>
                  <w:tcBorders>
                    <w:tl2br w:val="nil"/>
                    <w:tr2bl w:val="nil"/>
                  </w:tcBorders>
                  <w:noWrap w:val="0"/>
                  <w:vAlign w:val="center"/>
                </w:tcPr>
                <w:p w14:paraId="518EF10B">
                  <w:pPr>
                    <w:keepNext w:val="0"/>
                    <w:keepLines w:val="0"/>
                    <w:suppressLineNumbers w:val="0"/>
                    <w:adjustRightInd w:val="0"/>
                    <w:snapToGrid w:val="0"/>
                    <w:spacing w:before="0" w:beforeLines="0" w:beforeAutospacing="0" w:after="0" w:afterLines="0" w:afterAutospacing="0"/>
                    <w:ind w:left="0" w:right="0"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highlight w:val="none"/>
                    </w:rPr>
                    <w:t>新建设VOCs排放的工艺项目必须入园，实现区域内VOCs排放总量或倍量削减替代。新改扩建项目要使用低(无)VOCs含量原辅料，采取密闭措施，加强废气收集，配套安装高效治理设施，减少污染排放。淘汰国家及地方明令禁止的落实工艺和设备。</w:t>
                  </w:r>
                </w:p>
              </w:tc>
              <w:tc>
                <w:tcPr>
                  <w:tcW w:w="1234" w:type="dxa"/>
                  <w:vMerge w:val="continue"/>
                  <w:tcBorders>
                    <w:tl2br w:val="nil"/>
                    <w:tr2bl w:val="nil"/>
                  </w:tcBorders>
                  <w:noWrap w:val="0"/>
                  <w:vAlign w:val="center"/>
                </w:tcPr>
                <w:p w14:paraId="2573C37C">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557" w:type="dxa"/>
                  <w:tcBorders>
                    <w:tl2br w:val="nil"/>
                    <w:tr2bl w:val="nil"/>
                  </w:tcBorders>
                  <w:noWrap w:val="0"/>
                  <w:vAlign w:val="center"/>
                </w:tcPr>
                <w:p w14:paraId="66C7DBAE">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符合</w:t>
                  </w:r>
                </w:p>
              </w:tc>
            </w:tr>
            <w:tr w14:paraId="033676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dxa"/>
                  <w:tcBorders>
                    <w:tl2br w:val="nil"/>
                    <w:tr2bl w:val="nil"/>
                  </w:tcBorders>
                  <w:noWrap w:val="0"/>
                  <w:vAlign w:val="center"/>
                </w:tcPr>
                <w:p w14:paraId="7DBD9334">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olor w:val="auto"/>
                      <w:kern w:val="0"/>
                      <w:sz w:val="21"/>
                      <w:szCs w:val="21"/>
                      <w:highlight w:val="none"/>
                    </w:rPr>
                    <w:t>挥发性有机物无组织排放控制标准</w:t>
                  </w:r>
                </w:p>
              </w:tc>
              <w:tc>
                <w:tcPr>
                  <w:tcW w:w="3455" w:type="dxa"/>
                  <w:tcBorders>
                    <w:tl2br w:val="nil"/>
                    <w:tr2bl w:val="nil"/>
                  </w:tcBorders>
                  <w:noWrap w:val="0"/>
                  <w:vAlign w:val="center"/>
                </w:tcPr>
                <w:p w14:paraId="063AD199">
                  <w:pPr>
                    <w:keepNext w:val="0"/>
                    <w:keepLines w:val="0"/>
                    <w:widowControl/>
                    <w:suppressLineNumbers w:val="0"/>
                    <w:adjustRightInd w:val="0"/>
                    <w:snapToGrid w:val="0"/>
                    <w:spacing w:beforeLines="0" w:afterLines="0"/>
                    <w:jc w:val="both"/>
                    <w:rPr>
                      <w:rFonts w:hint="eastAsia"/>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 xml:space="preserve">1、VOCs物料应储存于密闭的容器、包装袋、储罐、储库、料仓中；盛装 VOCs物料的容器或包装袋应存放于室内，或存放于设置有雨棚、遮阳和防渗设施的专用场地，盛装VOCs物料的容器或包装袋在非取用状态时应加盖封口，保持密闭。 </w:t>
                  </w:r>
                </w:p>
                <w:p w14:paraId="0EF2B06E">
                  <w:pPr>
                    <w:keepNext w:val="0"/>
                    <w:keepLines w:val="0"/>
                    <w:widowControl/>
                    <w:suppressLineNumbers w:val="0"/>
                    <w:adjustRightInd w:val="0"/>
                    <w:snapToGrid w:val="0"/>
                    <w:spacing w:beforeLines="0" w:afterLines="0"/>
                    <w:jc w:val="both"/>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2、VOCs质量占比大于等于10%的含 VOCs产品，其使用过程应采用密闭设备或在密闭空间内操作，废气应排至VOCs废气收集处理系统。</w:t>
                  </w:r>
                </w:p>
              </w:tc>
              <w:tc>
                <w:tcPr>
                  <w:tcW w:w="1234" w:type="dxa"/>
                  <w:vMerge w:val="continue"/>
                  <w:tcBorders>
                    <w:tl2br w:val="nil"/>
                    <w:tr2bl w:val="nil"/>
                  </w:tcBorders>
                  <w:noWrap w:val="0"/>
                  <w:vAlign w:val="center"/>
                </w:tcPr>
                <w:p w14:paraId="6B412E27">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557" w:type="dxa"/>
                  <w:tcBorders>
                    <w:tl2br w:val="nil"/>
                    <w:tr2bl w:val="nil"/>
                  </w:tcBorders>
                  <w:noWrap w:val="0"/>
                  <w:vAlign w:val="center"/>
                </w:tcPr>
                <w:p w14:paraId="0CD393CE">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22C894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dxa"/>
                  <w:tcBorders>
                    <w:tl2br w:val="nil"/>
                    <w:tr2bl w:val="nil"/>
                  </w:tcBorders>
                  <w:noWrap w:val="0"/>
                  <w:vAlign w:val="center"/>
                </w:tcPr>
                <w:p w14:paraId="268556D4">
                  <w:pPr>
                    <w:keepNext w:val="0"/>
                    <w:keepLines w:val="0"/>
                    <w:widowControl/>
                    <w:suppressLineNumbers w:val="0"/>
                    <w:adjustRightInd w:val="0"/>
                    <w:snapToGrid w:val="0"/>
                    <w:spacing w:beforeLines="0" w:afterLines="0"/>
                    <w:jc w:val="center"/>
                    <w:rPr>
                      <w:rFonts w:hint="eastAsia"/>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 xml:space="preserve">福建省 </w:t>
                  </w:r>
                </w:p>
                <w:p w14:paraId="54FA20AF">
                  <w:pPr>
                    <w:keepNext w:val="0"/>
                    <w:keepLines w:val="0"/>
                    <w:widowControl/>
                    <w:suppressLineNumbers w:val="0"/>
                    <w:adjustRightInd w:val="0"/>
                    <w:snapToGrid w:val="0"/>
                    <w:spacing w:beforeLines="0" w:afterLines="0"/>
                    <w:jc w:val="center"/>
                    <w:rPr>
                      <w:rFonts w:hint="eastAsia"/>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 xml:space="preserve">2020年挥 </w:t>
                  </w:r>
                </w:p>
                <w:p w14:paraId="7C44E377">
                  <w:pPr>
                    <w:keepNext w:val="0"/>
                    <w:keepLines w:val="0"/>
                    <w:widowControl/>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发性有机物治理攻坚实施方案</w:t>
                  </w:r>
                </w:p>
              </w:tc>
              <w:tc>
                <w:tcPr>
                  <w:tcW w:w="3455" w:type="dxa"/>
                  <w:tcBorders>
                    <w:tl2br w:val="nil"/>
                    <w:tr2bl w:val="nil"/>
                  </w:tcBorders>
                  <w:noWrap w:val="0"/>
                  <w:vAlign w:val="center"/>
                </w:tcPr>
                <w:p w14:paraId="3C9F7539">
                  <w:pPr>
                    <w:keepNext w:val="0"/>
                    <w:keepLines w:val="0"/>
                    <w:widowControl/>
                    <w:suppressLineNumbers w:val="0"/>
                    <w:adjustRightInd w:val="0"/>
                    <w:snapToGrid w:val="0"/>
                    <w:spacing w:beforeLines="0" w:afterLines="0"/>
                    <w:jc w:val="both"/>
                    <w:rPr>
                      <w:rFonts w:hint="eastAsia"/>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 xml:space="preserve">1、大力推进低(无)VOCs含量原辅材料替代，有效减少VOCs产生； </w:t>
                  </w:r>
                </w:p>
                <w:p w14:paraId="1E4AAA49">
                  <w:pPr>
                    <w:keepNext w:val="0"/>
                    <w:keepLines w:val="0"/>
                    <w:widowControl/>
                    <w:suppressLineNumbers w:val="0"/>
                    <w:adjustRightInd w:val="0"/>
                    <w:snapToGrid w:val="0"/>
                    <w:spacing w:beforeLines="0" w:afterLines="0"/>
                    <w:jc w:val="both"/>
                    <w:rPr>
                      <w:rFonts w:hint="eastAsia"/>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 xml:space="preserve">2、强化无组织排放控制要求； </w:t>
                  </w:r>
                </w:p>
                <w:p w14:paraId="24610F5B">
                  <w:pPr>
                    <w:keepNext w:val="0"/>
                    <w:keepLines w:val="0"/>
                    <w:widowControl/>
                    <w:suppressLineNumbers w:val="0"/>
                    <w:adjustRightInd w:val="0"/>
                    <w:snapToGrid w:val="0"/>
                    <w:spacing w:beforeLines="0" w:afterLines="0"/>
                    <w:jc w:val="both"/>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3、聚焦治污设施“三率”，提升综合治理效率。</w:t>
                  </w:r>
                </w:p>
              </w:tc>
              <w:tc>
                <w:tcPr>
                  <w:tcW w:w="1234" w:type="dxa"/>
                  <w:vMerge w:val="continue"/>
                  <w:tcBorders>
                    <w:tl2br w:val="nil"/>
                    <w:tr2bl w:val="nil"/>
                  </w:tcBorders>
                  <w:noWrap w:val="0"/>
                  <w:vAlign w:val="center"/>
                </w:tcPr>
                <w:p w14:paraId="0B0FEB8A">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557" w:type="dxa"/>
                  <w:tcBorders>
                    <w:tl2br w:val="nil"/>
                    <w:tr2bl w:val="nil"/>
                  </w:tcBorders>
                  <w:noWrap w:val="0"/>
                  <w:vAlign w:val="center"/>
                </w:tcPr>
                <w:p w14:paraId="03A92454">
                  <w:pPr>
                    <w:keepNext w:val="0"/>
                    <w:keepLines w:val="0"/>
                    <w:suppressLineNumbers w:val="0"/>
                    <w:adjustRightInd w:val="0"/>
                    <w:snapToGrid w:val="0"/>
                    <w:spacing w:before="0" w:beforeLines="0" w:beforeAutospacing="0" w:after="0" w:afterLines="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bl>
          <w:p w14:paraId="2F79E917">
            <w:pPr>
              <w:pStyle w:val="56"/>
              <w:keepNext w:val="0"/>
              <w:keepLines w:val="0"/>
              <w:pageBreakBefore w:val="0"/>
              <w:widowControl w:val="0"/>
              <w:kinsoku/>
              <w:wordWrap/>
              <w:overflowPunct/>
              <w:topLinePunct w:val="0"/>
              <w:autoSpaceDE/>
              <w:autoSpaceDN/>
              <w:bidi w:val="0"/>
              <w:adjustRightInd w:val="0"/>
              <w:snapToGrid w:val="0"/>
              <w:spacing w:before="157" w:beforeLines="50" w:after="0" w:afterLines="0" w:line="360" w:lineRule="auto"/>
              <w:textAlignment w:val="auto"/>
              <w:outlineLvl w:val="1"/>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color w:val="000000"/>
                <w:sz w:val="28"/>
                <w:szCs w:val="28"/>
                <w:highlight w:val="none"/>
                <w:lang w:val="en-US" w:eastAsia="zh-CN"/>
              </w:rPr>
              <w:t>1</w:t>
            </w:r>
            <w:r>
              <w:rPr>
                <w:rFonts w:hint="default" w:ascii="Times New Roman" w:hAnsi="Times New Roman" w:eastAsia="宋体" w:cs="Times New Roman"/>
                <w:color w:val="000000"/>
                <w:sz w:val="28"/>
                <w:szCs w:val="28"/>
                <w:highlight w:val="none"/>
              </w:rPr>
              <w:t>.</w:t>
            </w:r>
            <w:r>
              <w:rPr>
                <w:rFonts w:hint="eastAsia" w:ascii="Times New Roman" w:hAnsi="Times New Roman" w:eastAsia="宋体" w:cs="Times New Roman"/>
                <w:color w:val="000000"/>
                <w:sz w:val="28"/>
                <w:szCs w:val="28"/>
                <w:highlight w:val="none"/>
                <w:lang w:val="en-US" w:eastAsia="zh-CN"/>
              </w:rPr>
              <w:t>4</w:t>
            </w:r>
            <w:r>
              <w:rPr>
                <w:rFonts w:hint="default" w:ascii="Times New Roman" w:hAnsi="Times New Roman" w:eastAsia="宋体" w:cs="Times New Roman"/>
                <w:color w:val="000000"/>
                <w:sz w:val="28"/>
                <w:szCs w:val="28"/>
                <w:highlight w:val="none"/>
              </w:rPr>
              <w:t>产业</w:t>
            </w:r>
            <w:r>
              <w:rPr>
                <w:rFonts w:hint="default" w:ascii="Times New Roman" w:hAnsi="Times New Roman" w:eastAsia="宋体" w:cs="Times New Roman"/>
                <w:color w:val="000000"/>
                <w:sz w:val="28"/>
                <w:szCs w:val="28"/>
                <w:highlight w:val="none"/>
                <w:lang w:val="en-US" w:eastAsia="zh-CN"/>
              </w:rPr>
              <w:t>政策符合性分析</w:t>
            </w:r>
          </w:p>
          <w:p w14:paraId="647FECF8">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default" w:ascii="Times New Roman" w:hAnsi="Times New Roman" w:eastAsia="宋体" w:cs="Times New Roman"/>
                <w:b w:val="0"/>
                <w:color w:val="000000"/>
                <w:kern w:val="2"/>
                <w:sz w:val="24"/>
                <w:szCs w:val="24"/>
                <w:highlight w:val="none"/>
                <w:lang w:val="en-US" w:eastAsia="zh-CN" w:bidi="ar-SA"/>
              </w:rPr>
            </w:pPr>
            <w:r>
              <w:rPr>
                <w:rFonts w:hint="default" w:ascii="Times New Roman" w:hAnsi="Times New Roman" w:eastAsia="宋体" w:cs="Times New Roman"/>
                <w:b w:val="0"/>
                <w:color w:val="000000"/>
                <w:kern w:val="2"/>
                <w:sz w:val="24"/>
                <w:szCs w:val="24"/>
                <w:highlight w:val="none"/>
                <w:lang w:val="en-US" w:eastAsia="zh-CN" w:bidi="ar-SA"/>
              </w:rPr>
              <w:t>该项目主要从事</w:t>
            </w:r>
            <w:r>
              <w:rPr>
                <w:rFonts w:hint="eastAsia" w:ascii="Times New Roman" w:hAnsi="Times New Roman" w:cs="Times New Roman"/>
                <w:b w:val="0"/>
                <w:color w:val="000000"/>
                <w:kern w:val="2"/>
                <w:sz w:val="24"/>
                <w:szCs w:val="24"/>
                <w:highlight w:val="none"/>
                <w:lang w:val="en-US" w:eastAsia="zh-CN" w:bidi="ar-SA"/>
              </w:rPr>
              <w:t>布料的丝印加工</w:t>
            </w:r>
            <w:r>
              <w:rPr>
                <w:rFonts w:hint="eastAsia" w:ascii="Times New Roman" w:hAnsi="Times New Roman" w:eastAsia="宋体" w:cs="Times New Roman"/>
                <w:b w:val="0"/>
                <w:color w:val="000000"/>
                <w:kern w:val="2"/>
                <w:sz w:val="24"/>
                <w:szCs w:val="24"/>
                <w:highlight w:val="none"/>
                <w:lang w:val="en-US" w:eastAsia="zh-CN" w:bidi="ar-SA"/>
              </w:rPr>
              <w:t>生产</w:t>
            </w:r>
            <w:r>
              <w:rPr>
                <w:rFonts w:hint="default" w:ascii="Times New Roman" w:hAnsi="Times New Roman" w:eastAsia="宋体" w:cs="Times New Roman"/>
                <w:b w:val="0"/>
                <w:color w:val="000000"/>
                <w:kern w:val="2"/>
                <w:sz w:val="24"/>
                <w:szCs w:val="24"/>
                <w:highlight w:val="none"/>
                <w:lang w:val="en-US" w:eastAsia="zh-CN" w:bidi="ar-SA"/>
              </w:rPr>
              <w:t>，对照《产业结构调整指导目录（</w:t>
            </w:r>
            <w:r>
              <w:rPr>
                <w:rFonts w:hint="eastAsia" w:ascii="Times New Roman" w:hAnsi="Times New Roman" w:eastAsia="宋体" w:cs="Times New Roman"/>
                <w:b w:val="0"/>
                <w:color w:val="000000"/>
                <w:kern w:val="2"/>
                <w:sz w:val="24"/>
                <w:szCs w:val="24"/>
                <w:highlight w:val="none"/>
                <w:lang w:val="en-US" w:eastAsia="zh-CN" w:bidi="ar-SA"/>
              </w:rPr>
              <w:t>2024</w:t>
            </w:r>
            <w:r>
              <w:rPr>
                <w:rFonts w:hint="default" w:ascii="Times New Roman" w:hAnsi="Times New Roman" w:eastAsia="宋体" w:cs="Times New Roman"/>
                <w:b w:val="0"/>
                <w:color w:val="000000"/>
                <w:kern w:val="2"/>
                <w:sz w:val="24"/>
                <w:szCs w:val="24"/>
                <w:highlight w:val="none"/>
                <w:lang w:val="en-US" w:eastAsia="zh-CN" w:bidi="ar-SA"/>
              </w:rPr>
              <w:t>年本）》，本项目所采用的设备、工艺和生产规模均不在淘汰类、限制类之列，属于允许建设项目，故项目建设符合国家产业政策。</w:t>
            </w:r>
          </w:p>
          <w:p w14:paraId="24220FCC">
            <w:pPr>
              <w:pStyle w:val="16"/>
              <w:keepNext w:val="0"/>
              <w:keepLines w:val="0"/>
              <w:pageBreakBefore w:val="0"/>
              <w:widowControl w:val="0"/>
              <w:kinsoku/>
              <w:wordWrap/>
              <w:overflowPunct/>
              <w:topLinePunct w:val="0"/>
              <w:autoSpaceDE/>
              <w:autoSpaceDN/>
              <w:bidi w:val="0"/>
              <w:spacing w:beforeLines="0" w:afterLines="0" w:line="360" w:lineRule="auto"/>
              <w:ind w:firstLine="480" w:firstLineChars="200"/>
              <w:textAlignment w:val="auto"/>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b w:val="0"/>
                <w:color w:val="000000"/>
                <w:kern w:val="2"/>
                <w:sz w:val="24"/>
                <w:szCs w:val="24"/>
                <w:highlight w:val="none"/>
                <w:lang w:val="en-US" w:eastAsia="zh-CN" w:bidi="ar-SA"/>
              </w:rPr>
              <w:t>综上，项目建设符合国家和地方当前的产业政策要求。</w:t>
            </w:r>
          </w:p>
          <w:p w14:paraId="7EACD76D">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1"/>
              <w:rPr>
                <w:rFonts w:hint="default" w:ascii="Times New Roman" w:hAnsi="Times New Roman" w:eastAsia="宋体" w:cs="Times New Roman"/>
                <w:b/>
                <w:color w:val="000000"/>
                <w:kern w:val="2"/>
                <w:sz w:val="28"/>
                <w:szCs w:val="28"/>
                <w:highlight w:val="none"/>
                <w:lang w:val="en-US" w:eastAsia="zh-CN" w:bidi="ar-SA"/>
              </w:rPr>
            </w:pPr>
            <w:r>
              <w:rPr>
                <w:rFonts w:hint="default" w:ascii="Times New Roman" w:hAnsi="Times New Roman" w:eastAsia="宋体" w:cs="Times New Roman"/>
                <w:color w:val="000000"/>
                <w:sz w:val="28"/>
                <w:szCs w:val="28"/>
                <w:highlight w:val="none"/>
                <w:lang w:val="en-US" w:eastAsia="zh-CN"/>
              </w:rPr>
              <w:t>1.</w:t>
            </w:r>
            <w:r>
              <w:rPr>
                <w:rFonts w:hint="eastAsia" w:ascii="Times New Roman" w:hAnsi="Times New Roman" w:eastAsia="宋体" w:cs="Times New Roman"/>
                <w:color w:val="000000"/>
                <w:sz w:val="28"/>
                <w:szCs w:val="28"/>
                <w:highlight w:val="none"/>
                <w:lang w:val="en-US" w:eastAsia="zh-CN"/>
              </w:rPr>
              <w:t>5</w:t>
            </w:r>
            <w:r>
              <w:rPr>
                <w:rFonts w:hint="eastAsia" w:ascii="Times New Roman" w:hAnsi="Times New Roman" w:eastAsia="宋体" w:cs="Times New Roman"/>
                <w:b/>
                <w:color w:val="000000"/>
                <w:kern w:val="2"/>
                <w:sz w:val="28"/>
                <w:szCs w:val="28"/>
                <w:highlight w:val="none"/>
                <w:lang w:val="en-US" w:eastAsia="zh-CN" w:bidi="ar-SA"/>
              </w:rPr>
              <w:t>周围环境相容性</w:t>
            </w:r>
            <w:r>
              <w:rPr>
                <w:rFonts w:hint="default" w:ascii="Times New Roman" w:hAnsi="Times New Roman" w:eastAsia="宋体" w:cs="Times New Roman"/>
                <w:b/>
                <w:color w:val="000000"/>
                <w:kern w:val="2"/>
                <w:sz w:val="28"/>
                <w:szCs w:val="28"/>
                <w:highlight w:val="none"/>
                <w:lang w:val="en-US" w:eastAsia="zh-CN" w:bidi="ar-SA"/>
              </w:rPr>
              <w:t>分析</w:t>
            </w:r>
          </w:p>
          <w:p w14:paraId="43D1B764">
            <w:pPr>
              <w:pStyle w:val="12"/>
              <w:keepNext w:val="0"/>
              <w:keepLines w:val="0"/>
              <w:pageBreakBefore w:val="0"/>
              <w:widowControl w:val="0"/>
              <w:kinsoku/>
              <w:wordWrap/>
              <w:overflowPunct/>
              <w:topLinePunct w:val="0"/>
              <w:autoSpaceDE/>
              <w:autoSpaceDN/>
              <w:bidi w:val="0"/>
              <w:spacing w:before="0" w:after="0" w:line="360" w:lineRule="auto"/>
              <w:ind w:right="0" w:firstLine="480" w:firstLineChars="200"/>
              <w:jc w:val="both"/>
              <w:rPr>
                <w:rFonts w:hint="default" w:ascii="Times New Roman" w:hAnsi="Times New Roman" w:eastAsia="宋体" w:cs="Times New Roman"/>
                <w:b/>
                <w:color w:val="000000"/>
                <w:kern w:val="2"/>
                <w:sz w:val="28"/>
                <w:szCs w:val="28"/>
                <w:highlight w:val="none"/>
                <w:lang w:val="en-US" w:eastAsia="zh-CN" w:bidi="ar-SA"/>
              </w:rPr>
            </w:pPr>
            <w:r>
              <w:rPr>
                <w:rFonts w:hint="eastAsia" w:ascii="Times New Roman" w:hAnsi="Times New Roman" w:eastAsia="宋体" w:cs="Times New Roman"/>
                <w:color w:val="000000"/>
                <w:sz w:val="24"/>
                <w:szCs w:val="24"/>
                <w:highlight w:val="none"/>
                <w:lang w:eastAsia="zh-CN"/>
              </w:rPr>
              <w:t>本项目位于</w:t>
            </w:r>
            <w:r>
              <w:rPr>
                <w:rFonts w:hint="eastAsia" w:cs="Times New Roman"/>
                <w:color w:val="000000"/>
                <w:kern w:val="0"/>
                <w:sz w:val="24"/>
                <w:szCs w:val="24"/>
                <w:highlight w:val="none"/>
                <w:lang w:val="en-US" w:eastAsia="zh-CN" w:bidi="ar-SA"/>
              </w:rPr>
              <w:t>福建省泉州市鲤城区紫安路1号</w:t>
            </w:r>
            <w:r>
              <w:rPr>
                <w:rFonts w:hint="eastAsia" w:ascii="Times New Roman" w:hAnsi="Times New Roman" w:eastAsia="宋体" w:cs="Times New Roman"/>
                <w:color w:val="000000"/>
                <w:kern w:val="0"/>
                <w:sz w:val="24"/>
                <w:szCs w:val="24"/>
                <w:highlight w:val="none"/>
                <w:lang w:val="en-US" w:eastAsia="zh-CN" w:bidi="ar-SA"/>
              </w:rPr>
              <w:t>，北侧隔紫盛街为沿街店面，西侧隔紫安路为福建耀阳箱包有限公司，南侧为泉州市河泰兴包袋有限责任公司，东侧为泉州博莱箱包有限公司</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项目各项废气、废水、噪声及固废均配套相应的污染防治措施，经分析各项污染物均可实现达标排放及得到妥善处置，项目运营对周边环境影响较小。因此，在采取有效的污染防治措施确保项目产生的各项污染物指标均能达到相关排放要求，本项目正常运行对周边环境影响较小，项目建设与周边环境相容。</w:t>
            </w:r>
          </w:p>
          <w:p w14:paraId="2523749D">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1"/>
              <w:rPr>
                <w:rFonts w:hint="default" w:ascii="Times New Roman" w:hAnsi="Times New Roman" w:eastAsia="宋体" w:cs="Times New Roman"/>
                <w:b/>
                <w:color w:val="000000"/>
                <w:kern w:val="2"/>
                <w:sz w:val="28"/>
                <w:szCs w:val="28"/>
                <w:highlight w:val="none"/>
                <w:lang w:val="en-US" w:eastAsia="zh-CN" w:bidi="ar-SA"/>
              </w:rPr>
            </w:pPr>
            <w:r>
              <w:rPr>
                <w:rFonts w:hint="default" w:ascii="Times New Roman" w:hAnsi="Times New Roman" w:eastAsia="宋体" w:cs="Times New Roman"/>
                <w:color w:val="000000"/>
                <w:sz w:val="28"/>
                <w:szCs w:val="28"/>
                <w:highlight w:val="none"/>
                <w:lang w:val="en-US" w:eastAsia="zh-CN"/>
              </w:rPr>
              <w:t>1.</w:t>
            </w:r>
            <w:r>
              <w:rPr>
                <w:rFonts w:hint="eastAsia" w:ascii="Times New Roman" w:hAnsi="Times New Roman" w:eastAsia="宋体" w:cs="Times New Roman"/>
                <w:color w:val="000000"/>
                <w:sz w:val="28"/>
                <w:szCs w:val="28"/>
                <w:highlight w:val="none"/>
                <w:lang w:val="en-US" w:eastAsia="zh-CN"/>
              </w:rPr>
              <w:t>6</w:t>
            </w:r>
            <w:r>
              <w:rPr>
                <w:rFonts w:hint="eastAsia" w:ascii="Times New Roman" w:hAnsi="Times New Roman" w:eastAsia="宋体" w:cs="Times New Roman"/>
                <w:b/>
                <w:color w:val="000000"/>
                <w:kern w:val="2"/>
                <w:sz w:val="28"/>
                <w:szCs w:val="28"/>
                <w:highlight w:val="none"/>
                <w:lang w:val="en-US" w:eastAsia="zh-CN" w:bidi="ar-SA"/>
              </w:rPr>
              <w:t>与《泉州市鲤城生态功能区划》</w:t>
            </w:r>
            <w:r>
              <w:rPr>
                <w:rFonts w:hint="default" w:ascii="Times New Roman" w:hAnsi="Times New Roman" w:eastAsia="宋体" w:cs="Times New Roman"/>
                <w:b/>
                <w:color w:val="000000"/>
                <w:kern w:val="2"/>
                <w:sz w:val="28"/>
                <w:szCs w:val="28"/>
                <w:highlight w:val="none"/>
                <w:lang w:val="en-US" w:eastAsia="zh-CN" w:bidi="ar-SA"/>
              </w:rPr>
              <w:t>符合性分析</w:t>
            </w:r>
          </w:p>
          <w:p w14:paraId="70B05AC0">
            <w:pPr>
              <w:pStyle w:val="12"/>
              <w:widowControl w:val="0"/>
              <w:spacing w:before="0" w:beforeLines="0" w:after="0" w:afterLines="0" w:line="360" w:lineRule="auto"/>
              <w:ind w:right="0" w:firstLine="480" w:firstLineChars="200"/>
              <w:rPr>
                <w:rFonts w:hint="default"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eastAsia="zh-CN"/>
              </w:rPr>
              <w:t>根据《泉州市鲤城生态功能区划》</w:t>
            </w:r>
            <w:r>
              <w:rPr>
                <w:rFonts w:hint="eastAsia" w:ascii="Times New Roman" w:hAnsi="Times New Roman" w:eastAsia="宋体" w:cs="Times New Roman"/>
                <w:color w:val="000000"/>
                <w:spacing w:val="0"/>
                <w:sz w:val="24"/>
                <w:szCs w:val="24"/>
                <w:highlight w:val="none"/>
                <w:lang w:val="en-US" w:eastAsia="zh-CN"/>
              </w:rPr>
              <w:t>，项目所在区域生态功能定位为：泉州市区西部工业生态和饮用水源保护生态功能小区，其主导功能为工业生态和饮用水源保护，辅助功能为农业生态。项目生产废水经废水处理设施处理后</w:t>
            </w:r>
            <w:r>
              <w:rPr>
                <w:rFonts w:hint="eastAsia" w:cs="Times New Roman"/>
                <w:color w:val="000000"/>
                <w:spacing w:val="0"/>
                <w:sz w:val="24"/>
                <w:szCs w:val="24"/>
                <w:highlight w:val="none"/>
                <w:lang w:val="en-US" w:eastAsia="zh-CN"/>
              </w:rPr>
              <w:t>通过</w:t>
            </w:r>
            <w:r>
              <w:rPr>
                <w:rFonts w:hint="eastAsia" w:ascii="Times New Roman" w:hAnsi="Times New Roman" w:eastAsia="宋体" w:cs="Times New Roman"/>
                <w:color w:val="000000"/>
                <w:spacing w:val="0"/>
                <w:sz w:val="24"/>
                <w:szCs w:val="24"/>
                <w:highlight w:val="none"/>
                <w:lang w:val="en-US" w:eastAsia="zh-CN"/>
              </w:rPr>
              <w:t>市政污水管纳入晋江仙石污水处理厂，生活污水经</w:t>
            </w:r>
            <w:r>
              <w:rPr>
                <w:rFonts w:hint="eastAsia" w:cs="Times New Roman"/>
                <w:color w:val="000000"/>
                <w:spacing w:val="0"/>
                <w:sz w:val="24"/>
                <w:szCs w:val="24"/>
                <w:highlight w:val="none"/>
                <w:lang w:val="en-US" w:eastAsia="zh-CN"/>
              </w:rPr>
              <w:t>化粪池处理后通过</w:t>
            </w:r>
            <w:r>
              <w:rPr>
                <w:rFonts w:hint="eastAsia" w:ascii="Times New Roman" w:hAnsi="Times New Roman" w:eastAsia="宋体" w:cs="Times New Roman"/>
                <w:color w:val="000000"/>
                <w:spacing w:val="0"/>
                <w:sz w:val="24"/>
                <w:szCs w:val="24"/>
                <w:highlight w:val="none"/>
                <w:lang w:val="en-US" w:eastAsia="zh-CN"/>
              </w:rPr>
              <w:t>市政污水管纳入晋江仙石污水处理厂处理，不会对水源保护区产生影响。因此，项目选址与区域生态功能区划相容</w:t>
            </w:r>
          </w:p>
          <w:p w14:paraId="38BBC36B">
            <w:pPr>
              <w:pStyle w:val="12"/>
              <w:widowControl w:val="0"/>
              <w:spacing w:before="0" w:beforeLines="0" w:after="0" w:afterLines="0" w:line="360" w:lineRule="auto"/>
              <w:ind w:right="0" w:firstLine="480" w:firstLineChars="200"/>
              <w:rPr>
                <w:rFonts w:hint="eastAsia" w:ascii="Times New Roman" w:hAnsi="Times New Roman" w:eastAsia="宋体" w:cs="Times New Roman"/>
                <w:color w:val="000000"/>
                <w:spacing w:val="0"/>
                <w:sz w:val="24"/>
                <w:szCs w:val="24"/>
                <w:highlight w:val="none"/>
                <w:lang w:eastAsia="zh-CN"/>
              </w:rPr>
            </w:pPr>
            <w:r>
              <w:rPr>
                <w:rFonts w:hint="eastAsia" w:ascii="Times New Roman" w:hAnsi="Times New Roman" w:eastAsia="宋体" w:cs="Times New Roman"/>
                <w:color w:val="000000"/>
                <w:spacing w:val="0"/>
                <w:sz w:val="24"/>
                <w:szCs w:val="24"/>
                <w:highlight w:val="none"/>
                <w:lang w:eastAsia="zh-CN"/>
              </w:rPr>
              <w:t>综上分析，项目建设符合环境功能区规划要求。</w:t>
            </w:r>
          </w:p>
          <w:p w14:paraId="41D8E43E">
            <w:pPr>
              <w:pStyle w:val="12"/>
              <w:widowControl w:val="0"/>
              <w:spacing w:before="0" w:beforeLines="0" w:after="0" w:afterLines="0" w:line="360" w:lineRule="auto"/>
              <w:ind w:right="0"/>
              <w:jc w:val="both"/>
              <w:rPr>
                <w:rFonts w:hint="default" w:ascii="Times New Roman" w:hAnsi="Times New Roman" w:eastAsia="宋体" w:cs="Times New Roman"/>
                <w:b/>
                <w:color w:val="000000"/>
                <w:kern w:val="2"/>
                <w:sz w:val="28"/>
                <w:szCs w:val="28"/>
                <w:highlight w:val="none"/>
                <w:lang w:val="en-US" w:eastAsia="zh-CN" w:bidi="ar-SA"/>
              </w:rPr>
            </w:pPr>
            <w:r>
              <w:rPr>
                <w:rFonts w:hint="default" w:ascii="Times New Roman" w:hAnsi="Times New Roman" w:eastAsia="宋体" w:cs="Times New Roman"/>
                <w:b/>
                <w:color w:val="000000"/>
                <w:kern w:val="2"/>
                <w:sz w:val="28"/>
                <w:szCs w:val="28"/>
                <w:highlight w:val="none"/>
                <w:lang w:val="en-US" w:eastAsia="zh-CN" w:bidi="ar-SA"/>
              </w:rPr>
              <w:t>1.</w:t>
            </w:r>
            <w:r>
              <w:rPr>
                <w:rFonts w:hint="eastAsia" w:ascii="Times New Roman" w:hAnsi="Times New Roman" w:eastAsia="宋体" w:cs="Times New Roman"/>
                <w:b/>
                <w:color w:val="000000"/>
                <w:kern w:val="2"/>
                <w:sz w:val="28"/>
                <w:szCs w:val="28"/>
                <w:highlight w:val="none"/>
                <w:lang w:val="en-US" w:eastAsia="zh-CN" w:bidi="ar-SA"/>
              </w:rPr>
              <w:t>7对南高干渠的影响分析</w:t>
            </w:r>
          </w:p>
          <w:p w14:paraId="58A62663">
            <w:pPr>
              <w:pStyle w:val="12"/>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right="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color w:val="000000"/>
                <w:kern w:val="2"/>
                <w:sz w:val="24"/>
                <w:szCs w:val="24"/>
                <w:highlight w:val="none"/>
                <w:lang w:val="en-US" w:eastAsia="zh-CN" w:bidi="ar"/>
              </w:rPr>
              <w:t>南高总干渠和南高渠现统称为南高干渠，离本项目东北侧厂界最近距离约为563米，主要规划功能为集中式生活饮用水地表水源地一级保护地，水质执行GB3838-2002《地表水环境质量标准》中Ⅱ类水质标准。</w:t>
            </w:r>
          </w:p>
          <w:p w14:paraId="13C9DB17">
            <w:pPr>
              <w:pStyle w:val="12"/>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right="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
              </w:rPr>
            </w:pPr>
            <w:r>
              <w:rPr>
                <w:rFonts w:hint="default" w:ascii="Times New Roman" w:hAnsi="Times New Roman" w:eastAsia="宋体" w:cs="Times New Roman"/>
                <w:color w:val="000000"/>
                <w:kern w:val="2"/>
                <w:sz w:val="24"/>
                <w:szCs w:val="24"/>
                <w:highlight w:val="none"/>
                <w:lang w:val="en-US" w:eastAsia="zh-CN" w:bidi="ar"/>
              </w:rPr>
              <w:t>总干渠自金鸡南高干渠首暗涵至树兜高低渠分水枢纽，长3</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685km，分两个流量段。渠首至西山，设计流量30m/s</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西山至树兜，设计流量38.5m/s。南高渠自树兜高低渠分水枢纽至高渠与九十九溪加沙汇合口，长11.415km，分两个流量段。树兜至清濛福厦公路桥，设计流量26</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5m</w:t>
            </w:r>
            <w:r>
              <w:rPr>
                <w:rFonts w:hint="default" w:ascii="Times New Roman" w:hAnsi="Times New Roman" w:eastAsia="宋体" w:cs="Times New Roman"/>
                <w:color w:val="000000"/>
                <w:kern w:val="2"/>
                <w:sz w:val="24"/>
                <w:szCs w:val="24"/>
                <w:highlight w:val="none"/>
                <w:vertAlign w:val="superscript"/>
                <w:lang w:val="en-US" w:eastAsia="zh-CN" w:bidi="ar"/>
              </w:rPr>
              <w:t>3</w:t>
            </w:r>
            <w:r>
              <w:rPr>
                <w:rFonts w:hint="default" w:ascii="Times New Roman" w:hAnsi="Times New Roman" w:eastAsia="宋体" w:cs="Times New Roman"/>
                <w:color w:val="000000"/>
                <w:kern w:val="2"/>
                <w:sz w:val="24"/>
                <w:szCs w:val="24"/>
                <w:highlight w:val="none"/>
                <w:lang w:val="en-US" w:eastAsia="zh-CN" w:bidi="ar"/>
              </w:rPr>
              <w:t>/s</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清至加沙，设计流量25.5m</w:t>
            </w:r>
            <w:r>
              <w:rPr>
                <w:rFonts w:hint="default" w:ascii="Times New Roman" w:hAnsi="Times New Roman" w:eastAsia="宋体" w:cs="Times New Roman"/>
                <w:color w:val="000000"/>
                <w:kern w:val="2"/>
                <w:sz w:val="24"/>
                <w:szCs w:val="24"/>
                <w:highlight w:val="none"/>
                <w:vertAlign w:val="superscript"/>
                <w:lang w:val="en-US" w:eastAsia="zh-CN" w:bidi="ar"/>
              </w:rPr>
              <w:t>3</w:t>
            </w:r>
            <w:r>
              <w:rPr>
                <w:rFonts w:hint="default" w:ascii="Times New Roman" w:hAnsi="Times New Roman" w:eastAsia="宋体" w:cs="Times New Roman"/>
                <w:color w:val="000000"/>
                <w:kern w:val="2"/>
                <w:sz w:val="24"/>
                <w:szCs w:val="24"/>
                <w:highlight w:val="none"/>
                <w:lang w:val="en-US" w:eastAsia="zh-CN" w:bidi="ar"/>
              </w:rPr>
              <w:t>/s。</w:t>
            </w:r>
          </w:p>
          <w:p w14:paraId="1604AB4F">
            <w:pPr>
              <w:pStyle w:val="12"/>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right="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
              </w:rPr>
            </w:pPr>
            <w:r>
              <w:rPr>
                <w:rFonts w:hint="default" w:ascii="Times New Roman" w:hAnsi="Times New Roman" w:eastAsia="宋体" w:cs="Times New Roman"/>
                <w:color w:val="000000"/>
                <w:kern w:val="2"/>
                <w:sz w:val="24"/>
                <w:szCs w:val="24"/>
                <w:highlight w:val="none"/>
                <w:lang w:val="en-US" w:eastAsia="zh-CN" w:bidi="ar"/>
              </w:rPr>
              <w:t>根据《关于泉州市中心市区饮用水源保护区调整方案和泉州市中心市区应急备用饮水源</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桃源水库</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保护区划定方案的批复》</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福建省人民政府，闽政文[2009]48号</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，南高干渠水源保护区一级保护区范围</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1</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水域:南高干渠渠首至加沙断面水域</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15.1km</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玉田分渠全线不再列入保护区范围</w:t>
            </w:r>
            <w:r>
              <w:rPr>
                <w:rFonts w:hint="eastAsia" w:ascii="Times New Roman" w:hAnsi="Times New Roman" w:eastAsia="宋体" w:cs="Times New Roman"/>
                <w:color w:val="000000"/>
                <w:kern w:val="2"/>
                <w:sz w:val="24"/>
                <w:szCs w:val="24"/>
                <w:highlight w:val="none"/>
                <w:lang w:val="en-US" w:eastAsia="zh-CN" w:bidi="ar"/>
              </w:rPr>
              <w:t>）；（2）</w:t>
            </w:r>
            <w:r>
              <w:rPr>
                <w:rFonts w:hint="default" w:ascii="Times New Roman" w:hAnsi="Times New Roman" w:eastAsia="宋体" w:cs="Times New Roman"/>
                <w:color w:val="000000"/>
                <w:kern w:val="2"/>
                <w:sz w:val="24"/>
                <w:szCs w:val="24"/>
                <w:highlight w:val="none"/>
                <w:lang w:val="en-US" w:eastAsia="zh-CN" w:bidi="ar"/>
              </w:rPr>
              <w:t>陆域:南高干渠渠首至加沙断面水域(15.1km)两侧栏杆外延6米、围墙外延5米范围陆域。</w:t>
            </w:r>
            <w:r>
              <w:rPr>
                <w:rFonts w:hint="eastAsia" w:ascii="Times New Roman" w:hAnsi="Times New Roman" w:eastAsia="宋体" w:cs="Times New Roman"/>
                <w:color w:val="000000"/>
                <w:kern w:val="2"/>
                <w:sz w:val="24"/>
                <w:szCs w:val="24"/>
                <w:highlight w:val="none"/>
                <w:lang w:val="en-US" w:eastAsia="zh-CN" w:bidi="ar"/>
              </w:rPr>
              <w:t>（3）</w:t>
            </w:r>
            <w:r>
              <w:rPr>
                <w:rFonts w:hint="default" w:ascii="Times New Roman" w:hAnsi="Times New Roman" w:eastAsia="宋体" w:cs="Times New Roman"/>
                <w:color w:val="000000"/>
                <w:kern w:val="2"/>
                <w:sz w:val="24"/>
                <w:szCs w:val="24"/>
                <w:highlight w:val="none"/>
                <w:lang w:val="en-US" w:eastAsia="zh-CN" w:bidi="ar"/>
              </w:rPr>
              <w:t>准保护区:南高干渠一级保护区外延50米范围陆域。根据《泉州市人民政府关于加强南高干渠等重要饮用水源和水工程管理与保护的通告》</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泉政</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2012</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6号</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第六条相关要求</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禁止在饮用水源准保护区内新建、扩建对水体污染严重的建设项目</w:t>
            </w:r>
            <w:r>
              <w:rPr>
                <w:rFonts w:hint="eastAsia"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扩建建设项目，不得增加排污量</w:t>
            </w:r>
            <w:r>
              <w:rPr>
                <w:rFonts w:hint="eastAsia" w:ascii="Times New Roman" w:hAnsi="Times New Roman" w:eastAsia="宋体" w:cs="Times New Roman"/>
                <w:color w:val="000000"/>
                <w:kern w:val="2"/>
                <w:sz w:val="24"/>
                <w:szCs w:val="24"/>
                <w:highlight w:val="none"/>
                <w:lang w:val="en-US" w:eastAsia="zh-CN" w:bidi="ar"/>
              </w:rPr>
              <w:t>”。</w:t>
            </w:r>
          </w:p>
          <w:p w14:paraId="4C7E5993">
            <w:pPr>
              <w:pStyle w:val="12"/>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right="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color w:val="000000"/>
                <w:kern w:val="2"/>
                <w:sz w:val="24"/>
                <w:szCs w:val="24"/>
                <w:highlight w:val="none"/>
                <w:lang w:val="en-US" w:eastAsia="zh-CN" w:bidi="ar"/>
              </w:rPr>
              <w:t>项目处于南高干渠西南侧陆域，距离南高干渠约563米，不在南高干渠水域、陆域一级保护区、准保护区范围内。项目生产废水经废水处理设施处理后</w:t>
            </w:r>
            <w:r>
              <w:rPr>
                <w:rFonts w:hint="eastAsia" w:cs="Times New Roman"/>
                <w:color w:val="000000"/>
                <w:kern w:val="2"/>
                <w:sz w:val="24"/>
                <w:szCs w:val="24"/>
                <w:highlight w:val="none"/>
                <w:lang w:val="en-US" w:eastAsia="zh-CN" w:bidi="ar"/>
              </w:rPr>
              <w:t>通过</w:t>
            </w:r>
            <w:r>
              <w:rPr>
                <w:rFonts w:hint="eastAsia" w:ascii="Times New Roman" w:hAnsi="Times New Roman" w:eastAsia="宋体" w:cs="Times New Roman"/>
                <w:color w:val="000000"/>
                <w:kern w:val="2"/>
                <w:sz w:val="24"/>
                <w:szCs w:val="24"/>
                <w:highlight w:val="none"/>
                <w:lang w:val="en-US" w:eastAsia="zh-CN" w:bidi="ar"/>
              </w:rPr>
              <w:t>市政污水管纳入晋江仙石污水处理厂处理，生活污水经</w:t>
            </w:r>
            <w:r>
              <w:rPr>
                <w:rFonts w:hint="eastAsia" w:cs="Times New Roman"/>
                <w:color w:val="000000"/>
                <w:kern w:val="2"/>
                <w:sz w:val="24"/>
                <w:szCs w:val="24"/>
                <w:highlight w:val="none"/>
                <w:lang w:val="en-US" w:eastAsia="zh-CN" w:bidi="ar"/>
              </w:rPr>
              <w:t>化粪池处理后通过</w:t>
            </w:r>
            <w:r>
              <w:rPr>
                <w:rFonts w:hint="eastAsia" w:ascii="Times New Roman" w:hAnsi="Times New Roman" w:eastAsia="宋体" w:cs="Times New Roman"/>
                <w:color w:val="000000"/>
                <w:kern w:val="2"/>
                <w:sz w:val="24"/>
                <w:szCs w:val="24"/>
                <w:highlight w:val="none"/>
                <w:lang w:val="en-US" w:eastAsia="zh-CN" w:bidi="ar"/>
              </w:rPr>
              <w:t>市政污水管纳入晋江仙石污水处理厂处理，最终排入晋江金鸡闸-鲟埔段，不会对水源保护区产生影响。</w:t>
            </w:r>
          </w:p>
        </w:tc>
      </w:tr>
    </w:tbl>
    <w:p w14:paraId="04D61171">
      <w:pPr>
        <w:spacing w:line="240" w:lineRule="auto"/>
        <w:outlineLvl w:val="9"/>
        <w:rPr>
          <w:rFonts w:hint="default" w:ascii="Times New Roman" w:hAnsi="Times New Roman" w:eastAsia="宋体" w:cs="Times New Roman"/>
          <w:sz w:val="21"/>
          <w:highlight w:val="none"/>
        </w:rPr>
      </w:pPr>
    </w:p>
    <w:p w14:paraId="3ABC0A90">
      <w:pPr>
        <w:pStyle w:val="23"/>
        <w:keepNext w:val="0"/>
        <w:keepLines w:val="0"/>
        <w:pageBreakBefore w:val="0"/>
        <w:widowControl w:val="0"/>
        <w:numPr>
          <w:ilvl w:val="0"/>
          <w:numId w:val="3"/>
        </w:numPr>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bCs w:val="0"/>
          <w:color w:val="000000"/>
          <w:kern w:val="0"/>
          <w:sz w:val="30"/>
          <w:szCs w:val="28"/>
          <w:highlight w:val="none"/>
          <w:vertAlign w:val="baseline"/>
          <w:lang w:val="en-US" w:eastAsia="zh-CN" w:bidi="ar-SA"/>
        </w:rPr>
      </w:pPr>
      <w:r>
        <w:rPr>
          <w:rFonts w:hint="default" w:ascii="Times New Roman" w:hAnsi="Times New Roman" w:eastAsia="宋体" w:cs="Times New Roman"/>
          <w:b/>
          <w:bCs w:val="0"/>
          <w:color w:val="000000"/>
          <w:kern w:val="0"/>
          <w:sz w:val="30"/>
          <w:szCs w:val="28"/>
          <w:highlight w:val="none"/>
          <w:lang w:val="en-US" w:eastAsia="zh-CN" w:bidi="ar-SA"/>
        </w:rPr>
        <w:t>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4AE6A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2B45342C">
            <w:pPr>
              <w:rPr>
                <w:rFonts w:hint="default" w:ascii="宋体" w:hAnsi="宋体" w:eastAsia="宋体" w:cs="Times New Roman"/>
                <w:sz w:val="24"/>
                <w:szCs w:val="20"/>
                <w:highlight w:val="none"/>
              </w:rPr>
            </w:pPr>
            <w:r>
              <w:rPr>
                <w:rFonts w:hint="eastAsia" w:ascii="宋体" w:hAnsi="宋体" w:eastAsia="宋体" w:cs="Times New Roman"/>
                <w:sz w:val="24"/>
                <w:szCs w:val="20"/>
                <w:highlight w:val="none"/>
                <w:lang w:eastAsia="zh-CN"/>
              </w:rPr>
              <w:t>建</w:t>
            </w:r>
            <w:r>
              <w:rPr>
                <w:rFonts w:hint="default" w:ascii="宋体" w:hAnsi="宋体" w:eastAsia="宋体" w:cs="Times New Roman"/>
                <w:sz w:val="24"/>
                <w:szCs w:val="20"/>
                <w:highlight w:val="none"/>
              </w:rPr>
              <w:t>设内容</w:t>
            </w:r>
          </w:p>
        </w:tc>
        <w:tc>
          <w:tcPr>
            <w:tcW w:w="8161" w:type="dxa"/>
            <w:noWrap w:val="0"/>
            <w:vAlign w:val="top"/>
          </w:tcPr>
          <w:p w14:paraId="37348979">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1"/>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rPr>
              <w:t>.</w:t>
            </w:r>
            <w:r>
              <w:rPr>
                <w:rFonts w:hint="default" w:ascii="Times New Roman" w:hAnsi="Times New Roman" w:eastAsia="宋体" w:cs="Times New Roman"/>
                <w:color w:val="000000"/>
                <w:highlight w:val="none"/>
                <w:lang w:val="en-US" w:eastAsia="zh-CN"/>
              </w:rPr>
              <w:t>1项目基本情况概括</w:t>
            </w:r>
          </w:p>
          <w:p w14:paraId="2ADAD0C3">
            <w:pPr>
              <w:pStyle w:val="23"/>
              <w:widowControl/>
              <w:shd w:val="clear" w:color="auto" w:fill="auto"/>
              <w:spacing w:before="0" w:beforeAutospacing="0" w:after="0" w:afterAutospacing="0" w:line="360" w:lineRule="auto"/>
              <w:ind w:firstLine="480" w:firstLineChars="200"/>
              <w:jc w:val="both"/>
              <w:rPr>
                <w:rFonts w:hint="eastAsia" w:ascii="Times New Roman" w:hAnsi="Times New Roman" w:eastAsia="宋体" w:cs="Times New Roman"/>
                <w:bCs w:val="0"/>
                <w:color w:val="000000"/>
                <w:kern w:val="0"/>
                <w:sz w:val="24"/>
                <w:szCs w:val="24"/>
                <w:highlight w:val="none"/>
                <w:lang w:val="en-US" w:eastAsia="zh-CN"/>
              </w:rPr>
            </w:pPr>
            <w:r>
              <w:rPr>
                <w:rFonts w:hint="default" w:ascii="Times New Roman" w:hAnsi="Times New Roman" w:eastAsia="宋体" w:cs="Times New Roman"/>
                <w:bCs w:val="0"/>
                <w:color w:val="000000"/>
                <w:kern w:val="0"/>
                <w:sz w:val="24"/>
                <w:szCs w:val="24"/>
                <w:highlight w:val="none"/>
              </w:rPr>
              <w:t>泉州</w:t>
            </w:r>
            <w:r>
              <w:rPr>
                <w:rFonts w:hint="eastAsia" w:ascii="Times New Roman" w:hAnsi="Times New Roman" w:eastAsia="宋体" w:cs="Times New Roman"/>
                <w:bCs w:val="0"/>
                <w:color w:val="000000"/>
                <w:kern w:val="0"/>
                <w:sz w:val="24"/>
                <w:szCs w:val="24"/>
                <w:highlight w:val="none"/>
                <w:lang w:eastAsia="zh-CN"/>
              </w:rPr>
              <w:t>市隆泰服装印花</w:t>
            </w:r>
            <w:r>
              <w:rPr>
                <w:rFonts w:hint="default" w:ascii="Times New Roman" w:hAnsi="Times New Roman" w:eastAsia="宋体" w:cs="Times New Roman"/>
                <w:bCs w:val="0"/>
                <w:color w:val="000000"/>
                <w:kern w:val="0"/>
                <w:sz w:val="24"/>
                <w:szCs w:val="24"/>
                <w:highlight w:val="none"/>
              </w:rPr>
              <w:t>有限公司</w:t>
            </w:r>
            <w:r>
              <w:rPr>
                <w:rFonts w:hint="default" w:ascii="Times New Roman" w:hAnsi="Times New Roman" w:eastAsia="宋体" w:cs="Times New Roman"/>
                <w:color w:val="000000"/>
                <w:spacing w:val="2"/>
                <w:sz w:val="24"/>
                <w:szCs w:val="24"/>
                <w:highlight w:val="none"/>
                <w:lang w:eastAsia="zh-CN"/>
              </w:rPr>
              <w:t>位于</w:t>
            </w:r>
            <w:r>
              <w:rPr>
                <w:rFonts w:hint="eastAsia" w:ascii="Times New Roman" w:hAnsi="Times New Roman" w:cs="Times New Roman"/>
                <w:color w:val="000000"/>
                <w:kern w:val="0"/>
                <w:sz w:val="24"/>
                <w:szCs w:val="24"/>
                <w:highlight w:val="none"/>
                <w:lang w:val="en-US" w:eastAsia="zh-CN" w:bidi="ar-SA"/>
              </w:rPr>
              <w:t>福建省泉州市鲤城区紫安路1号</w:t>
            </w:r>
            <w:r>
              <w:rPr>
                <w:rFonts w:hint="eastAsia" w:ascii="Times New Roman" w:hAnsi="Times New Roman" w:eastAsia="宋体" w:cs="Times New Roman"/>
                <w:color w:val="000000"/>
                <w:kern w:val="0"/>
                <w:sz w:val="24"/>
                <w:szCs w:val="24"/>
                <w:highlight w:val="none"/>
                <w:lang w:val="en-US" w:eastAsia="zh-CN" w:bidi="ar-SA"/>
              </w:rPr>
              <w:t>，</w:t>
            </w:r>
            <w:r>
              <w:rPr>
                <w:rFonts w:hint="default" w:ascii="Times New Roman" w:hAnsi="Times New Roman" w:eastAsia="宋体" w:cs="Times New Roman"/>
                <w:color w:val="000000"/>
                <w:spacing w:val="2"/>
                <w:sz w:val="24"/>
                <w:szCs w:val="24"/>
                <w:highlight w:val="none"/>
                <w:lang w:eastAsia="zh-CN"/>
              </w:rPr>
              <w:t>系租赁</w:t>
            </w:r>
            <w:r>
              <w:rPr>
                <w:rFonts w:hint="eastAsia" w:ascii="Times New Roman" w:hAnsi="Times New Roman" w:eastAsia="宋体" w:cs="Times New Roman"/>
                <w:b w:val="0"/>
                <w:bCs w:val="0"/>
                <w:sz w:val="24"/>
                <w:szCs w:val="24"/>
                <w:highlight w:val="none"/>
                <w:lang w:eastAsia="zh-CN"/>
              </w:rPr>
              <w:t>泉州达利彩印有限公司</w:t>
            </w:r>
            <w:r>
              <w:rPr>
                <w:rFonts w:hint="eastAsia" w:ascii="Times New Roman" w:hAnsi="Times New Roman" w:eastAsia="宋体" w:cs="Times New Roman"/>
                <w:b w:val="0"/>
                <w:bCs w:val="0"/>
                <w:sz w:val="24"/>
                <w:szCs w:val="24"/>
                <w:highlight w:val="none"/>
                <w:lang w:val="en-US" w:eastAsia="zh-CN"/>
              </w:rPr>
              <w:t>空置厂房及办公、宿舍楼作为生产</w:t>
            </w:r>
            <w:r>
              <w:rPr>
                <w:rFonts w:hint="default" w:ascii="Times New Roman" w:hAnsi="Times New Roman" w:eastAsia="宋体" w:cs="Times New Roman"/>
                <w:b w:val="0"/>
                <w:bCs w:val="0"/>
                <w:sz w:val="24"/>
                <w:szCs w:val="24"/>
                <w:highlight w:val="none"/>
                <w:lang w:val="en-US" w:eastAsia="zh-CN"/>
              </w:rPr>
              <w:t>经营场所</w:t>
            </w:r>
            <w:r>
              <w:rPr>
                <w:rFonts w:hint="default" w:ascii="Times New Roman" w:hAnsi="Times New Roman" w:eastAsia="宋体" w:cs="Times New Roman"/>
                <w:color w:val="000000"/>
                <w:spacing w:val="2"/>
                <w:sz w:val="24"/>
                <w:szCs w:val="24"/>
                <w:highlight w:val="none"/>
                <w:lang w:eastAsia="zh-CN"/>
              </w:rPr>
              <w:t>，租赁建筑面积</w:t>
            </w:r>
            <w:r>
              <w:rPr>
                <w:rFonts w:hint="eastAsia" w:ascii="Times New Roman" w:hAnsi="Times New Roman" w:cs="Times New Roman"/>
                <w:color w:val="auto"/>
                <w:sz w:val="24"/>
                <w:szCs w:val="24"/>
                <w:highlight w:val="none"/>
                <w:lang w:val="en-US" w:eastAsia="zh-CN"/>
              </w:rPr>
              <w:t>43</w:t>
            </w:r>
            <w:r>
              <w:rPr>
                <w:rFonts w:hint="eastAsia" w:ascii="Times New Roman" w:hAnsi="Times New Roman" w:eastAsia="宋体"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000000"/>
                <w:spacing w:val="2"/>
                <w:sz w:val="24"/>
                <w:szCs w:val="24"/>
                <w:highlight w:val="none"/>
                <w:vertAlign w:val="baseline"/>
                <w:lang w:val="en-US" w:eastAsia="zh-CN"/>
              </w:rPr>
              <w:t>。</w:t>
            </w:r>
            <w:r>
              <w:rPr>
                <w:rFonts w:hint="eastAsia" w:ascii="Times New Roman" w:hAnsi="Times New Roman" w:eastAsia="宋体" w:cs="Times New Roman"/>
                <w:color w:val="000000"/>
                <w:spacing w:val="2"/>
                <w:sz w:val="24"/>
                <w:szCs w:val="24"/>
                <w:highlight w:val="none"/>
                <w:vertAlign w:val="baseline"/>
                <w:lang w:val="en-US" w:eastAsia="zh-CN"/>
              </w:rPr>
              <w:t>该公司于201</w:t>
            </w:r>
            <w:r>
              <w:rPr>
                <w:rFonts w:hint="eastAsia" w:ascii="Times New Roman" w:hAnsi="Times New Roman" w:cs="Times New Roman"/>
                <w:color w:val="000000"/>
                <w:spacing w:val="2"/>
                <w:sz w:val="24"/>
                <w:szCs w:val="24"/>
                <w:highlight w:val="none"/>
                <w:vertAlign w:val="baseline"/>
                <w:lang w:val="en-US" w:eastAsia="zh-CN"/>
              </w:rPr>
              <w:t>0</w:t>
            </w:r>
            <w:r>
              <w:rPr>
                <w:rFonts w:hint="eastAsia" w:ascii="Times New Roman" w:hAnsi="Times New Roman" w:eastAsia="宋体" w:cs="Times New Roman"/>
                <w:color w:val="000000"/>
                <w:spacing w:val="2"/>
                <w:sz w:val="24"/>
                <w:szCs w:val="24"/>
                <w:highlight w:val="none"/>
                <w:vertAlign w:val="baseline"/>
                <w:lang w:val="en-US" w:eastAsia="zh-CN"/>
              </w:rPr>
              <w:t>年11月委托石狮市阳光环保技术综合服务有限公司编制了《</w:t>
            </w:r>
            <w:r>
              <w:rPr>
                <w:rFonts w:hint="eastAsia" w:ascii="Times New Roman" w:hAnsi="Times New Roman" w:eastAsia="宋体" w:cs="Times New Roman"/>
                <w:bCs w:val="0"/>
                <w:color w:val="000000"/>
                <w:kern w:val="0"/>
                <w:sz w:val="24"/>
                <w:szCs w:val="24"/>
                <w:highlight w:val="none"/>
                <w:lang w:eastAsia="zh-CN"/>
              </w:rPr>
              <w:t>泉州市隆泰服装印花有限公司迁扩建项目</w:t>
            </w:r>
            <w:r>
              <w:rPr>
                <w:rFonts w:hint="eastAsia" w:ascii="Times New Roman" w:hAnsi="Times New Roman" w:eastAsia="宋体" w:cs="Times New Roman"/>
                <w:bCs w:val="0"/>
                <w:color w:val="000000"/>
                <w:kern w:val="0"/>
                <w:sz w:val="24"/>
                <w:szCs w:val="24"/>
                <w:highlight w:val="none"/>
                <w:lang w:val="en-US" w:eastAsia="zh-CN"/>
              </w:rPr>
              <w:t>》，于2011年1月10日通过了原泉州市鲤城区环境保护局建设项目环评审批（</w:t>
            </w:r>
            <w:r>
              <w:rPr>
                <w:rFonts w:hint="default" w:ascii="Times New Roman" w:hAnsi="Times New Roman" w:eastAsia="宋体" w:cs="Times New Roman"/>
                <w:color w:val="000000"/>
                <w:spacing w:val="0"/>
                <w:sz w:val="24"/>
                <w:szCs w:val="24"/>
                <w:highlight w:val="none"/>
                <w:lang w:eastAsia="zh-CN"/>
              </w:rPr>
              <w:t>泉鲤环审</w:t>
            </w:r>
            <w:r>
              <w:rPr>
                <w:rFonts w:hint="default" w:ascii="Times New Roman" w:hAnsi="Times New Roman" w:eastAsia="宋体" w:cs="Times New Roman"/>
                <w:color w:val="000000"/>
                <w:spacing w:val="0"/>
                <w:sz w:val="24"/>
                <w:szCs w:val="24"/>
                <w:highlight w:val="none"/>
                <w:lang w:val="en-US" w:eastAsia="zh-CN"/>
              </w:rPr>
              <w:t>2011-017号）</w:t>
            </w:r>
            <w:r>
              <w:rPr>
                <w:rFonts w:hint="default" w:ascii="Times New Roman" w:hAnsi="Times New Roman" w:eastAsia="宋体" w:cs="Times New Roman"/>
                <w:bCs w:val="0"/>
                <w:color w:val="000000"/>
                <w:kern w:val="0"/>
                <w:sz w:val="24"/>
                <w:szCs w:val="24"/>
                <w:highlight w:val="none"/>
                <w:lang w:val="en-US" w:eastAsia="zh-CN"/>
              </w:rPr>
              <w:t>；2011年3月22日</w:t>
            </w:r>
            <w:r>
              <w:rPr>
                <w:rFonts w:hint="default" w:ascii="Times New Roman" w:hAnsi="Times New Roman" w:eastAsia="宋体" w:cs="Times New Roman"/>
                <w:bCs w:val="0"/>
                <w:color w:val="000000"/>
                <w:kern w:val="0"/>
                <w:sz w:val="24"/>
                <w:szCs w:val="24"/>
                <w:highlight w:val="none"/>
              </w:rPr>
              <w:t>泉州</w:t>
            </w:r>
            <w:r>
              <w:rPr>
                <w:rFonts w:hint="eastAsia" w:ascii="Times New Roman" w:hAnsi="Times New Roman" w:eastAsia="宋体" w:cs="Times New Roman"/>
                <w:bCs w:val="0"/>
                <w:color w:val="000000"/>
                <w:kern w:val="0"/>
                <w:sz w:val="24"/>
                <w:szCs w:val="24"/>
                <w:highlight w:val="none"/>
                <w:lang w:eastAsia="zh-CN"/>
              </w:rPr>
              <w:t>市</w:t>
            </w:r>
            <w:r>
              <w:rPr>
                <w:rFonts w:hint="eastAsia" w:ascii="Times New Roman" w:hAnsi="Times New Roman" w:cs="Times New Roman"/>
                <w:bCs w:val="0"/>
                <w:color w:val="000000"/>
                <w:kern w:val="0"/>
                <w:sz w:val="24"/>
                <w:szCs w:val="24"/>
                <w:highlight w:val="none"/>
                <w:lang w:eastAsia="zh-CN"/>
              </w:rPr>
              <w:t>鲤城区环境监测站</w:t>
            </w:r>
            <w:r>
              <w:rPr>
                <w:rFonts w:hint="default" w:ascii="Times New Roman" w:hAnsi="Times New Roman" w:eastAsia="宋体" w:cs="Times New Roman"/>
                <w:bCs w:val="0"/>
                <w:color w:val="000000"/>
                <w:kern w:val="0"/>
                <w:sz w:val="24"/>
                <w:szCs w:val="24"/>
                <w:highlight w:val="none"/>
                <w:lang w:val="en-US" w:eastAsia="zh-CN"/>
              </w:rPr>
              <w:t>组织建设项目竣工环境保护验收监测（泉鲤环站验〔20</w:t>
            </w:r>
            <w:r>
              <w:rPr>
                <w:rFonts w:hint="eastAsia" w:ascii="Times New Roman" w:hAnsi="Times New Roman" w:eastAsia="宋体" w:cs="Times New Roman"/>
                <w:bCs w:val="0"/>
                <w:color w:val="000000"/>
                <w:kern w:val="0"/>
                <w:sz w:val="24"/>
                <w:szCs w:val="24"/>
                <w:highlight w:val="none"/>
                <w:lang w:val="en-US" w:eastAsia="zh-CN"/>
              </w:rPr>
              <w:t>1</w:t>
            </w:r>
            <w:r>
              <w:rPr>
                <w:rFonts w:hint="default" w:ascii="Times New Roman" w:hAnsi="Times New Roman" w:eastAsia="宋体" w:cs="Times New Roman"/>
                <w:bCs w:val="0"/>
                <w:color w:val="000000"/>
                <w:kern w:val="0"/>
                <w:sz w:val="24"/>
                <w:szCs w:val="24"/>
                <w:highlight w:val="none"/>
                <w:lang w:val="en-US" w:eastAsia="zh-CN"/>
              </w:rPr>
              <w:t>1〕27号），2011年6月14日通过原泉州市鲤城区环境保护局建设项目竣工环保验收（泉鲤环验2011-056号）；2020年3月23日进行排污许可登记，登记编号91350502671943122M001Z</w:t>
            </w:r>
            <w:r>
              <w:rPr>
                <w:rFonts w:hint="eastAsia" w:ascii="Times New Roman" w:hAnsi="Times New Roman" w:eastAsia="宋体" w:cs="Times New Roman"/>
                <w:bCs w:val="0"/>
                <w:color w:val="000000"/>
                <w:kern w:val="0"/>
                <w:sz w:val="24"/>
                <w:szCs w:val="24"/>
                <w:highlight w:val="none"/>
                <w:lang w:val="en-US" w:eastAsia="zh-CN"/>
              </w:rPr>
              <w:t>。</w:t>
            </w:r>
          </w:p>
          <w:p w14:paraId="0578ED74">
            <w:pPr>
              <w:widowControl w:val="0"/>
              <w:spacing w:line="360" w:lineRule="auto"/>
              <w:ind w:firstLine="480" w:firstLineChars="200"/>
              <w:jc w:val="both"/>
              <w:rPr>
                <w:rFonts w:hint="eastAsia" w:ascii="Times New Roman" w:hAnsi="Times New Roman" w:eastAsia="宋体" w:cs="Times New Roman"/>
                <w:bCs w:val="0"/>
                <w:color w:val="000000"/>
                <w:spacing w:val="0"/>
                <w:kern w:val="0"/>
                <w:sz w:val="24"/>
                <w:szCs w:val="24"/>
                <w:highlight w:val="none"/>
                <w:lang w:val="en-US" w:eastAsia="zh-CN"/>
              </w:rPr>
            </w:pPr>
            <w:r>
              <w:rPr>
                <w:rFonts w:hint="eastAsia" w:ascii="Times New Roman" w:hAnsi="Times New Roman" w:eastAsia="宋体" w:cs="Times New Roman"/>
                <w:bCs w:val="0"/>
                <w:color w:val="000000"/>
                <w:kern w:val="0"/>
                <w:sz w:val="24"/>
                <w:szCs w:val="24"/>
                <w:highlight w:val="none"/>
                <w:lang w:eastAsia="zh-CN"/>
              </w:rPr>
              <w:t>因公司发展及市场供应需求，</w:t>
            </w:r>
            <w:r>
              <w:rPr>
                <w:rFonts w:hint="default" w:ascii="Times New Roman" w:hAnsi="Times New Roman" w:eastAsia="宋体" w:cs="Times New Roman"/>
                <w:bCs w:val="0"/>
                <w:color w:val="000000"/>
                <w:kern w:val="0"/>
                <w:sz w:val="24"/>
                <w:szCs w:val="24"/>
                <w:highlight w:val="none"/>
              </w:rPr>
              <w:t>泉州</w:t>
            </w:r>
            <w:r>
              <w:rPr>
                <w:rFonts w:hint="eastAsia" w:ascii="Times New Roman" w:hAnsi="Times New Roman" w:eastAsia="宋体" w:cs="Times New Roman"/>
                <w:bCs w:val="0"/>
                <w:color w:val="000000"/>
                <w:kern w:val="0"/>
                <w:sz w:val="24"/>
                <w:szCs w:val="24"/>
                <w:highlight w:val="none"/>
                <w:lang w:eastAsia="zh-CN"/>
              </w:rPr>
              <w:t>市隆泰服装印花</w:t>
            </w:r>
            <w:r>
              <w:rPr>
                <w:rFonts w:hint="default" w:ascii="Times New Roman" w:hAnsi="Times New Roman" w:eastAsia="宋体" w:cs="Times New Roman"/>
                <w:bCs w:val="0"/>
                <w:color w:val="000000"/>
                <w:kern w:val="0"/>
                <w:sz w:val="24"/>
                <w:szCs w:val="24"/>
                <w:highlight w:val="none"/>
              </w:rPr>
              <w:t>有限公司</w:t>
            </w:r>
            <w:r>
              <w:rPr>
                <w:rFonts w:hint="eastAsia" w:ascii="Times New Roman" w:hAnsi="Times New Roman" w:eastAsia="宋体" w:cs="Times New Roman"/>
                <w:bCs w:val="0"/>
                <w:color w:val="000000"/>
                <w:kern w:val="0"/>
                <w:sz w:val="24"/>
                <w:szCs w:val="24"/>
                <w:highlight w:val="none"/>
                <w:lang w:eastAsia="zh-CN"/>
              </w:rPr>
              <w:t>拟新增服装</w:t>
            </w:r>
            <w:r>
              <w:rPr>
                <w:rFonts w:hint="eastAsia" w:ascii="Times New Roman" w:hAnsi="Times New Roman" w:eastAsia="宋体" w:cs="Times New Roman"/>
                <w:bCs w:val="0"/>
                <w:color w:val="000000"/>
                <w:kern w:val="0"/>
                <w:sz w:val="24"/>
                <w:szCs w:val="24"/>
                <w:highlight w:val="none"/>
                <w:lang w:val="en-US" w:eastAsia="zh-CN"/>
              </w:rPr>
              <w:t>印花生产项目，新增部分生产设备，</w:t>
            </w:r>
            <w:r>
              <w:rPr>
                <w:rFonts w:hint="eastAsia" w:cs="Times New Roman"/>
                <w:bCs w:val="0"/>
                <w:color w:val="000000"/>
                <w:kern w:val="0"/>
                <w:sz w:val="24"/>
                <w:szCs w:val="24"/>
                <w:highlight w:val="none"/>
                <w:lang w:val="en-US" w:eastAsia="zh-CN"/>
              </w:rPr>
              <w:t>扩大印花片的生产规模</w:t>
            </w:r>
            <w:r>
              <w:rPr>
                <w:rFonts w:hint="eastAsia" w:ascii="Times New Roman" w:hAnsi="Times New Roman" w:eastAsia="宋体" w:cs="Times New Roman"/>
                <w:bCs w:val="0"/>
                <w:color w:val="000000"/>
                <w:kern w:val="0"/>
                <w:sz w:val="24"/>
                <w:szCs w:val="24"/>
                <w:highlight w:val="none"/>
                <w:lang w:val="en-US" w:eastAsia="zh-CN"/>
              </w:rPr>
              <w:t>，预计年产服装20万件、印花</w:t>
            </w:r>
            <w:r>
              <w:rPr>
                <w:rFonts w:hint="eastAsia" w:cs="Times New Roman"/>
                <w:bCs w:val="0"/>
                <w:color w:val="000000"/>
                <w:kern w:val="0"/>
                <w:sz w:val="24"/>
                <w:szCs w:val="24"/>
                <w:highlight w:val="none"/>
                <w:lang w:val="en-US" w:eastAsia="zh-CN"/>
              </w:rPr>
              <w:t>片</w:t>
            </w:r>
            <w:r>
              <w:rPr>
                <w:rFonts w:hint="eastAsia" w:ascii="Times New Roman" w:hAnsi="Times New Roman" w:eastAsia="宋体" w:cs="Times New Roman"/>
                <w:bCs w:val="0"/>
                <w:color w:val="000000"/>
                <w:kern w:val="0"/>
                <w:sz w:val="24"/>
                <w:szCs w:val="24"/>
                <w:highlight w:val="none"/>
                <w:lang w:val="en-US" w:eastAsia="zh-CN"/>
              </w:rPr>
              <w:t>130万片、印花布50万米。项目</w:t>
            </w:r>
            <w:r>
              <w:rPr>
                <w:rFonts w:hint="eastAsia" w:cs="Times New Roman"/>
                <w:bCs w:val="0"/>
                <w:color w:val="000000"/>
                <w:kern w:val="0"/>
                <w:sz w:val="24"/>
                <w:szCs w:val="24"/>
                <w:highlight w:val="none"/>
                <w:lang w:val="en-US" w:eastAsia="zh-CN"/>
              </w:rPr>
              <w:t>新增</w:t>
            </w:r>
            <w:r>
              <w:rPr>
                <w:rFonts w:hint="eastAsia" w:ascii="Times New Roman" w:hAnsi="Times New Roman" w:eastAsia="宋体" w:cs="Times New Roman"/>
                <w:bCs w:val="0"/>
                <w:color w:val="000000"/>
                <w:kern w:val="0"/>
                <w:sz w:val="24"/>
                <w:szCs w:val="24"/>
                <w:highlight w:val="none"/>
                <w:lang w:val="en-US" w:eastAsia="zh-CN"/>
              </w:rPr>
              <w:t>投资80万元</w:t>
            </w:r>
            <w:r>
              <w:rPr>
                <w:rFonts w:hint="default" w:ascii="Times New Roman" w:hAnsi="Times New Roman" w:eastAsia="宋体" w:cs="Times New Roman"/>
                <w:color w:val="000000"/>
                <w:spacing w:val="2"/>
                <w:sz w:val="24"/>
                <w:szCs w:val="24"/>
                <w:highlight w:val="none"/>
                <w:vertAlign w:val="baseline"/>
                <w:lang w:val="en-US" w:eastAsia="zh-CN"/>
              </w:rPr>
              <w:t>，</w:t>
            </w:r>
            <w:r>
              <w:rPr>
                <w:rFonts w:hint="eastAsia" w:cs="Times New Roman"/>
                <w:color w:val="000000"/>
                <w:spacing w:val="2"/>
                <w:sz w:val="24"/>
                <w:szCs w:val="24"/>
                <w:highlight w:val="none"/>
                <w:vertAlign w:val="baseline"/>
                <w:lang w:val="en-US" w:eastAsia="zh-CN"/>
              </w:rPr>
              <w:t>改扩建后总投资180万元，</w:t>
            </w:r>
            <w:r>
              <w:rPr>
                <w:rFonts w:hint="default" w:ascii="Times New Roman" w:hAnsi="Times New Roman" w:eastAsia="宋体" w:cs="Times New Roman"/>
                <w:color w:val="000000"/>
                <w:spacing w:val="2"/>
                <w:sz w:val="24"/>
                <w:szCs w:val="24"/>
                <w:highlight w:val="none"/>
                <w:vertAlign w:val="baseline"/>
                <w:lang w:val="en-US" w:eastAsia="zh-CN"/>
              </w:rPr>
              <w:t>拟聘用职工</w:t>
            </w:r>
            <w:r>
              <w:rPr>
                <w:rFonts w:hint="eastAsia" w:cs="Times New Roman"/>
                <w:color w:val="000000"/>
                <w:spacing w:val="2"/>
                <w:sz w:val="24"/>
                <w:szCs w:val="24"/>
                <w:highlight w:val="none"/>
                <w:vertAlign w:val="baseline"/>
                <w:lang w:val="en-US" w:eastAsia="zh-CN"/>
              </w:rPr>
              <w:t>6</w:t>
            </w:r>
            <w:r>
              <w:rPr>
                <w:rFonts w:hint="eastAsia" w:ascii="Times New Roman" w:hAnsi="Times New Roman" w:eastAsia="宋体" w:cs="Times New Roman"/>
                <w:bCs/>
                <w:color w:val="000000"/>
                <w:spacing w:val="0"/>
                <w:kern w:val="0"/>
                <w:sz w:val="24"/>
                <w:szCs w:val="24"/>
                <w:highlight w:val="none"/>
                <w:vertAlign w:val="baseline"/>
                <w:lang w:val="en-US" w:eastAsia="zh-CN"/>
              </w:rPr>
              <w:t>0人，年工作300d，日工作12h</w:t>
            </w:r>
            <w:r>
              <w:rPr>
                <w:rFonts w:hint="eastAsia" w:cs="Times New Roman"/>
                <w:bCs/>
                <w:color w:val="000000"/>
                <w:spacing w:val="0"/>
                <w:kern w:val="0"/>
                <w:sz w:val="24"/>
                <w:szCs w:val="24"/>
                <w:highlight w:val="none"/>
                <w:vertAlign w:val="baseline"/>
                <w:lang w:val="en-US" w:eastAsia="zh-CN"/>
              </w:rPr>
              <w:t>（夜间不生产）</w:t>
            </w:r>
            <w:r>
              <w:rPr>
                <w:rFonts w:hint="eastAsia" w:ascii="Times New Roman" w:hAnsi="Times New Roman" w:eastAsia="宋体" w:cs="Times New Roman"/>
                <w:bCs w:val="0"/>
                <w:color w:val="000000"/>
                <w:spacing w:val="0"/>
                <w:kern w:val="0"/>
                <w:sz w:val="24"/>
                <w:szCs w:val="24"/>
                <w:highlight w:val="none"/>
                <w:vertAlign w:val="baseline"/>
                <w:lang w:val="en-US" w:eastAsia="zh-CN"/>
              </w:rPr>
              <w:t>。</w:t>
            </w:r>
          </w:p>
          <w:p w14:paraId="4F4F6699">
            <w:pPr>
              <w:widowControl w:val="0"/>
              <w:spacing w:line="360" w:lineRule="auto"/>
              <w:ind w:firstLine="482" w:firstLineChars="200"/>
              <w:jc w:val="left"/>
              <w:rPr>
                <w:rFonts w:hint="default" w:ascii="Times New Roman" w:hAnsi="Times New Roman" w:eastAsia="宋体" w:cs="Times New Roman"/>
                <w:b/>
                <w:bCs/>
                <w:color w:val="000000"/>
                <w:kern w:val="1"/>
                <w:sz w:val="24"/>
                <w:szCs w:val="24"/>
                <w:highlight w:val="none"/>
              </w:rPr>
            </w:pPr>
            <w:r>
              <w:rPr>
                <w:rFonts w:hint="eastAsia" w:ascii="Times New Roman" w:hAnsi="Times New Roman" w:eastAsia="宋体" w:cs="Times New Roman"/>
                <w:b/>
                <w:bCs/>
                <w:color w:val="000000"/>
                <w:kern w:val="1"/>
                <w:sz w:val="24"/>
                <w:szCs w:val="24"/>
                <w:highlight w:val="none"/>
                <w:lang w:eastAsia="zh-CN"/>
              </w:rPr>
              <w:t>依托工程</w:t>
            </w:r>
            <w:r>
              <w:rPr>
                <w:rFonts w:hint="default" w:ascii="Times New Roman" w:hAnsi="Times New Roman" w:eastAsia="宋体" w:cs="Times New Roman"/>
                <w:b/>
                <w:bCs/>
                <w:color w:val="000000"/>
                <w:kern w:val="1"/>
                <w:sz w:val="24"/>
                <w:szCs w:val="24"/>
                <w:highlight w:val="none"/>
              </w:rPr>
              <w:t>：</w:t>
            </w:r>
          </w:p>
          <w:p w14:paraId="6B431729">
            <w:pPr>
              <w:pStyle w:val="67"/>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000000"/>
                <w:highlight w:val="none"/>
                <w:lang w:eastAsia="zh-CN"/>
              </w:rPr>
            </w:pPr>
            <w:r>
              <w:rPr>
                <w:rFonts w:hint="default" w:ascii="Times New Roman" w:hAnsi="Times New Roman" w:cs="Times New Roman"/>
                <w:kern w:val="1"/>
                <w:sz w:val="24"/>
                <w:szCs w:val="24"/>
                <w:highlight w:val="none"/>
              </w:rPr>
              <w:t>根据</w:t>
            </w:r>
            <w:r>
              <w:rPr>
                <w:rFonts w:hint="eastAsia" w:ascii="Times New Roman" w:hAnsi="Times New Roman" w:cs="Times New Roman"/>
                <w:kern w:val="1"/>
                <w:sz w:val="24"/>
                <w:szCs w:val="24"/>
                <w:highlight w:val="none"/>
                <w:lang w:val="en-US" w:eastAsia="zh-CN"/>
              </w:rPr>
              <w:t>出租方</w:t>
            </w:r>
            <w:r>
              <w:rPr>
                <w:rFonts w:hint="eastAsia" w:ascii="Times New Roman" w:hAnsi="Times New Roman" w:eastAsia="宋体" w:cs="Times New Roman"/>
                <w:b w:val="0"/>
                <w:bCs w:val="0"/>
                <w:sz w:val="24"/>
                <w:szCs w:val="24"/>
                <w:highlight w:val="none"/>
                <w:lang w:eastAsia="zh-CN"/>
              </w:rPr>
              <w:t>泉州达利彩印有限公司</w:t>
            </w:r>
            <w:r>
              <w:rPr>
                <w:rFonts w:hint="default" w:ascii="Times New Roman" w:hAnsi="Times New Roman" w:cs="Times New Roman"/>
                <w:kern w:val="1"/>
                <w:sz w:val="24"/>
                <w:szCs w:val="24"/>
                <w:highlight w:val="none"/>
                <w:lang w:eastAsia="zh-CN"/>
              </w:rPr>
              <w:t>提供</w:t>
            </w:r>
            <w:r>
              <w:rPr>
                <w:rFonts w:hint="default" w:ascii="Times New Roman" w:hAnsi="Times New Roman" w:cs="Times New Roman"/>
                <w:kern w:val="1"/>
                <w:sz w:val="24"/>
                <w:szCs w:val="24"/>
                <w:highlight w:val="none"/>
              </w:rPr>
              <w:t>的</w:t>
            </w:r>
            <w:r>
              <w:rPr>
                <w:rFonts w:hint="eastAsia" w:ascii="Times New Roman" w:hAnsi="Times New Roman" w:cs="Times New Roman"/>
                <w:kern w:val="1"/>
                <w:sz w:val="24"/>
                <w:szCs w:val="24"/>
                <w:highlight w:val="none"/>
                <w:lang w:eastAsia="zh-CN"/>
              </w:rPr>
              <w:t>土地</w:t>
            </w:r>
            <w:r>
              <w:rPr>
                <w:rFonts w:hint="default" w:ascii="Times New Roman" w:hAnsi="Times New Roman" w:cs="Times New Roman"/>
                <w:kern w:val="1"/>
                <w:sz w:val="24"/>
                <w:szCs w:val="24"/>
                <w:highlight w:val="none"/>
                <w:lang w:eastAsia="zh-CN"/>
              </w:rPr>
              <w:t>证，</w:t>
            </w:r>
            <w:r>
              <w:rPr>
                <w:rFonts w:hint="default" w:ascii="Times New Roman" w:hAnsi="Times New Roman" w:eastAsia="宋体" w:cs="Times New Roman"/>
                <w:b w:val="0"/>
                <w:bCs w:val="0"/>
                <w:sz w:val="24"/>
                <w:szCs w:val="24"/>
                <w:highlight w:val="none"/>
                <w:lang w:eastAsia="zh-CN"/>
              </w:rPr>
              <w:t>证号：</w:t>
            </w:r>
            <w:r>
              <w:rPr>
                <w:rFonts w:hint="eastAsia" w:ascii="Times New Roman" w:hAnsi="Times New Roman" w:eastAsia="宋体" w:cs="Times New Roman"/>
                <w:b w:val="0"/>
                <w:bCs w:val="0"/>
                <w:sz w:val="24"/>
                <w:szCs w:val="24"/>
                <w:highlight w:val="none"/>
                <w:u w:val="single"/>
                <w:lang w:eastAsia="zh-CN"/>
              </w:rPr>
              <w:t>泉</w:t>
            </w:r>
            <w:r>
              <w:rPr>
                <w:rFonts w:hint="eastAsia" w:ascii="Times New Roman" w:hAnsi="Times New Roman" w:eastAsia="宋体" w:cs="Times New Roman"/>
                <w:b w:val="0"/>
                <w:bCs w:val="0"/>
                <w:sz w:val="24"/>
                <w:szCs w:val="24"/>
                <w:highlight w:val="none"/>
                <w:lang w:eastAsia="zh-CN"/>
              </w:rPr>
              <w:t>国用（</w:t>
            </w:r>
            <w:r>
              <w:rPr>
                <w:rFonts w:hint="eastAsia" w:ascii="Times New Roman" w:hAnsi="Times New Roman" w:eastAsia="宋体" w:cs="Times New Roman"/>
                <w:b w:val="0"/>
                <w:bCs w:val="0"/>
                <w:sz w:val="24"/>
                <w:szCs w:val="24"/>
                <w:highlight w:val="none"/>
                <w:lang w:val="en-US" w:eastAsia="zh-CN"/>
              </w:rPr>
              <w:t>2006）第</w:t>
            </w:r>
            <w:r>
              <w:rPr>
                <w:rFonts w:hint="eastAsia" w:ascii="Times New Roman" w:hAnsi="Times New Roman" w:eastAsia="宋体" w:cs="Times New Roman"/>
                <w:b w:val="0"/>
                <w:bCs w:val="0"/>
                <w:sz w:val="24"/>
                <w:szCs w:val="24"/>
                <w:highlight w:val="none"/>
                <w:u w:val="single"/>
                <w:lang w:val="en-US" w:eastAsia="zh-CN"/>
              </w:rPr>
              <w:t>100172</w:t>
            </w:r>
            <w:r>
              <w:rPr>
                <w:rFonts w:hint="eastAsia" w:ascii="Times New Roman" w:hAnsi="Times New Roman" w:eastAsia="宋体" w:cs="Times New Roman"/>
                <w:b w:val="0"/>
                <w:bCs w:val="0"/>
                <w:sz w:val="24"/>
                <w:szCs w:val="24"/>
                <w:highlight w:val="none"/>
                <w:lang w:val="en-US" w:eastAsia="zh-CN"/>
              </w:rPr>
              <w:t>号</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cs="Times New Roman"/>
                <w:sz w:val="24"/>
                <w:highlight w:val="none"/>
                <w:lang w:eastAsia="zh-CN"/>
              </w:rPr>
              <w:t>该地块</w:t>
            </w:r>
            <w:r>
              <w:rPr>
                <w:rFonts w:hint="default" w:ascii="Times New Roman" w:hAnsi="Times New Roman" w:cs="Times New Roman"/>
                <w:sz w:val="24"/>
                <w:highlight w:val="none"/>
                <w:lang w:val="en-US" w:eastAsia="zh-CN"/>
              </w:rPr>
              <w:t>土地</w:t>
            </w:r>
            <w:r>
              <w:rPr>
                <w:rFonts w:hint="default" w:ascii="Times New Roman" w:hAnsi="Times New Roman" w:cs="Times New Roman"/>
                <w:sz w:val="24"/>
                <w:highlight w:val="none"/>
                <w:lang w:eastAsia="zh-CN"/>
              </w:rPr>
              <w:t>用途为工业用地</w:t>
            </w:r>
            <w:r>
              <w:rPr>
                <w:rFonts w:hint="default" w:ascii="Times New Roman" w:hAnsi="Times New Roman" w:cs="Times New Roman"/>
                <w:kern w:val="1"/>
                <w:sz w:val="24"/>
                <w:szCs w:val="24"/>
                <w:highlight w:val="none"/>
              </w:rPr>
              <w:t>。</w:t>
            </w:r>
            <w:r>
              <w:rPr>
                <w:rFonts w:hint="eastAsia" w:ascii="Times New Roman" w:hAnsi="Times New Roman" w:eastAsia="宋体" w:cs="Times New Roman"/>
                <w:b w:val="0"/>
                <w:bCs w:val="0"/>
                <w:sz w:val="24"/>
                <w:szCs w:val="24"/>
                <w:highlight w:val="none"/>
                <w:lang w:eastAsia="zh-CN"/>
              </w:rPr>
              <w:t>泉州达利彩印有限公司</w:t>
            </w:r>
            <w:r>
              <w:rPr>
                <w:rFonts w:hint="default" w:ascii="Times New Roman" w:hAnsi="Times New Roman" w:eastAsia="宋体" w:cs="Times New Roman"/>
                <w:color w:val="auto"/>
                <w:highlight w:val="none"/>
                <w:lang w:val="en-US" w:eastAsia="zh-CN"/>
              </w:rPr>
              <w:t>目前在该厂址不从事生产经营，将厂区内厂房</w:t>
            </w:r>
            <w:r>
              <w:rPr>
                <w:rFonts w:hint="eastAsia" w:ascii="Times New Roman" w:hAnsi="Times New Roman" w:eastAsia="宋体" w:cs="Times New Roman"/>
                <w:color w:val="auto"/>
                <w:highlight w:val="none"/>
                <w:lang w:val="en-US" w:eastAsia="zh-CN"/>
              </w:rPr>
              <w:t>1-2层，4-6层</w:t>
            </w:r>
            <w:r>
              <w:rPr>
                <w:rFonts w:hint="eastAsia"/>
                <w:highlight w:val="none"/>
                <w:lang w:eastAsia="zh-CN"/>
              </w:rPr>
              <w:t>的空置厂房及办公、宿舍楼</w:t>
            </w:r>
            <w:r>
              <w:rPr>
                <w:rFonts w:hint="eastAsia" w:ascii="Times New Roman" w:hAnsi="Times New Roman" w:eastAsia="宋体" w:cs="Times New Roman"/>
                <w:kern w:val="2"/>
                <w:highlight w:val="none"/>
                <w:lang w:val="en-US" w:eastAsia="zh-CN"/>
              </w:rPr>
              <w:t>租赁给</w:t>
            </w:r>
            <w:r>
              <w:rPr>
                <w:rFonts w:hint="default" w:ascii="Times New Roman" w:hAnsi="Times New Roman" w:eastAsia="宋体" w:cs="Times New Roman"/>
                <w:bCs w:val="0"/>
                <w:color w:val="000000"/>
                <w:kern w:val="0"/>
                <w:sz w:val="24"/>
                <w:szCs w:val="24"/>
                <w:highlight w:val="none"/>
              </w:rPr>
              <w:t>泉州</w:t>
            </w:r>
            <w:r>
              <w:rPr>
                <w:rFonts w:hint="eastAsia" w:ascii="Times New Roman" w:hAnsi="Times New Roman" w:eastAsia="宋体" w:cs="Times New Roman"/>
                <w:bCs w:val="0"/>
                <w:color w:val="000000"/>
                <w:kern w:val="0"/>
                <w:sz w:val="24"/>
                <w:szCs w:val="24"/>
                <w:highlight w:val="none"/>
                <w:lang w:eastAsia="zh-CN"/>
              </w:rPr>
              <w:t>市隆泰服装印花</w:t>
            </w:r>
            <w:r>
              <w:rPr>
                <w:rFonts w:hint="default" w:ascii="Times New Roman" w:hAnsi="Times New Roman" w:eastAsia="宋体" w:cs="Times New Roman"/>
                <w:bCs w:val="0"/>
                <w:color w:val="000000"/>
                <w:kern w:val="0"/>
                <w:sz w:val="24"/>
                <w:szCs w:val="24"/>
                <w:highlight w:val="none"/>
              </w:rPr>
              <w:t>有限公司</w:t>
            </w:r>
            <w:r>
              <w:rPr>
                <w:rFonts w:hint="eastAsia" w:ascii="Times New Roman" w:hAnsi="Times New Roman" w:eastAsia="宋体" w:cs="Times New Roman"/>
                <w:kern w:val="2"/>
                <w:highlight w:val="none"/>
                <w:lang w:val="en-US" w:eastAsia="zh-CN"/>
              </w:rPr>
              <w:t>使用</w:t>
            </w:r>
            <w:r>
              <w:rPr>
                <w:rFonts w:hint="default" w:ascii="Times New Roman" w:hAnsi="Times New Roman" w:eastAsia="宋体" w:cs="Times New Roman"/>
                <w:color w:val="000000"/>
                <w:highlight w:val="none"/>
                <w:lang w:eastAsia="zh-CN"/>
              </w:rPr>
              <w:t>。</w:t>
            </w:r>
          </w:p>
          <w:p w14:paraId="1A0D81E2">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9"/>
              <w:rPr>
                <w:rFonts w:hint="default" w:ascii="Times New Roman" w:hAnsi="Times New Roman" w:eastAsia="宋体" w:cs="Times New Roman"/>
                <w:b w:val="0"/>
                <w:bCs/>
                <w:color w:val="000000"/>
                <w:sz w:val="24"/>
                <w:szCs w:val="24"/>
                <w:highlight w:val="none"/>
              </w:rPr>
            </w:pPr>
            <w:r>
              <w:rPr>
                <w:rFonts w:hint="default" w:ascii="Times New Roman" w:hAnsi="Times New Roman" w:eastAsia="宋体" w:cs="Times New Roman"/>
                <w:b w:val="0"/>
                <w:bCs/>
                <w:color w:val="000000"/>
                <w:sz w:val="24"/>
                <w:szCs w:val="24"/>
                <w:highlight w:val="none"/>
              </w:rPr>
              <w:t>根据</w:t>
            </w:r>
            <w:r>
              <w:rPr>
                <w:rFonts w:hint="eastAsia" w:ascii="Times New Roman" w:hAnsi="Times New Roman" w:eastAsia="宋体" w:cs="Times New Roman"/>
                <w:b w:val="0"/>
                <w:bCs/>
                <w:color w:val="000000"/>
                <w:sz w:val="24"/>
                <w:szCs w:val="24"/>
                <w:highlight w:val="none"/>
                <w:lang w:eastAsia="zh-CN"/>
              </w:rPr>
              <w:t>生态环境部</w:t>
            </w:r>
            <w:r>
              <w:rPr>
                <w:rFonts w:hint="eastAsia" w:ascii="Times New Roman" w:hAnsi="Times New Roman" w:eastAsia="宋体" w:cs="Times New Roman"/>
                <w:b w:val="0"/>
                <w:bCs/>
                <w:color w:val="000000"/>
                <w:sz w:val="24"/>
                <w:szCs w:val="24"/>
                <w:highlight w:val="none"/>
                <w:lang w:val="en-US" w:eastAsia="zh-CN"/>
              </w:rPr>
              <w:t>2018年10月31日关于布商标印刷所属国民经济行业类别判定咨询的回复，布料的商标等印刷按照“印刷和记录媒介复制业”进行管理。项目使用水性浆胶、水性固浆、水性色浆调浆后的浆料（低VOCs油墨）进行丝网印刷，项目胶浆、固浆、色</w:t>
            </w:r>
            <w:r>
              <w:rPr>
                <w:rFonts w:hint="eastAsia" w:ascii="Times New Roman" w:hAnsi="Times New Roman" w:cs="Times New Roman"/>
                <w:b w:val="0"/>
                <w:bCs/>
                <w:color w:val="000000"/>
                <w:sz w:val="24"/>
                <w:szCs w:val="24"/>
                <w:highlight w:val="none"/>
                <w:lang w:val="en-US" w:eastAsia="zh-CN"/>
              </w:rPr>
              <w:t>种</w:t>
            </w:r>
            <w:r>
              <w:rPr>
                <w:rFonts w:hint="eastAsia" w:ascii="Times New Roman" w:hAnsi="Times New Roman" w:eastAsia="宋体" w:cs="Times New Roman"/>
                <w:b w:val="0"/>
                <w:bCs/>
                <w:color w:val="000000"/>
                <w:sz w:val="24"/>
                <w:szCs w:val="24"/>
                <w:highlight w:val="none"/>
                <w:lang w:val="en-US" w:eastAsia="zh-CN"/>
              </w:rPr>
              <w:t>总用量为20.7吨；根据</w:t>
            </w:r>
            <w:r>
              <w:rPr>
                <w:rFonts w:hint="default" w:ascii="Times New Roman" w:hAnsi="Times New Roman" w:eastAsia="宋体" w:cs="Times New Roman"/>
                <w:b w:val="0"/>
                <w:bCs/>
                <w:color w:val="000000"/>
                <w:sz w:val="24"/>
                <w:szCs w:val="24"/>
                <w:highlight w:val="none"/>
              </w:rPr>
              <w:t>《中华人民共和国环境保护法》、《中华人民共和国环境影响评价法》、《建设项目环境保护管理条例》等法律、法规以及《建设项目环境影响评价分类管理名</w:t>
            </w:r>
            <w:bookmarkStart w:id="70" w:name="_GoBack"/>
            <w:bookmarkEnd w:id="70"/>
            <w:r>
              <w:rPr>
                <w:rFonts w:hint="default" w:ascii="Times New Roman" w:hAnsi="Times New Roman" w:eastAsia="宋体" w:cs="Times New Roman"/>
                <w:b w:val="0"/>
                <w:bCs/>
                <w:color w:val="000000"/>
                <w:sz w:val="24"/>
                <w:szCs w:val="24"/>
                <w:highlight w:val="none"/>
              </w:rPr>
              <w:t>录》（2021年版）的要求，项目的建设需进行环境影响评价。</w:t>
            </w:r>
            <w:r>
              <w:rPr>
                <w:rFonts w:hint="default" w:ascii="Times New Roman" w:hAnsi="Times New Roman" w:eastAsia="宋体" w:cs="Times New Roman"/>
                <w:b w:val="0"/>
                <w:bCs/>
                <w:color w:val="000000"/>
                <w:spacing w:val="2"/>
                <w:sz w:val="24"/>
                <w:szCs w:val="24"/>
                <w:highlight w:val="none"/>
                <w:vertAlign w:val="baseline"/>
                <w:lang w:val="en-US" w:eastAsia="zh-CN"/>
              </w:rPr>
              <w:t>项目主要</w:t>
            </w:r>
            <w:r>
              <w:rPr>
                <w:rFonts w:hint="eastAsia" w:ascii="Times New Roman" w:hAnsi="Times New Roman" w:eastAsia="宋体" w:cs="Times New Roman"/>
                <w:b w:val="0"/>
                <w:bCs/>
                <w:color w:val="000000"/>
                <w:spacing w:val="2"/>
                <w:sz w:val="24"/>
                <w:szCs w:val="24"/>
                <w:highlight w:val="none"/>
                <w:vertAlign w:val="baseline"/>
                <w:lang w:val="en-US" w:eastAsia="zh-CN"/>
              </w:rPr>
              <w:t>从事服装印花</w:t>
            </w:r>
            <w:r>
              <w:rPr>
                <w:rFonts w:hint="default" w:ascii="Times New Roman" w:hAnsi="Times New Roman" w:eastAsia="宋体" w:cs="Times New Roman"/>
                <w:b w:val="0"/>
                <w:bCs/>
                <w:color w:val="000000"/>
                <w:sz w:val="24"/>
                <w:szCs w:val="24"/>
                <w:highlight w:val="none"/>
              </w:rPr>
              <w:t>，应编制环境影响报告表，</w:t>
            </w:r>
            <w:r>
              <w:rPr>
                <w:rFonts w:hint="default" w:ascii="Times New Roman" w:hAnsi="Times New Roman" w:eastAsia="宋体" w:cs="Times New Roman"/>
                <w:b w:val="0"/>
                <w:bCs/>
                <w:color w:val="000000"/>
                <w:sz w:val="24"/>
                <w:szCs w:val="24"/>
                <w:highlight w:val="none"/>
                <w:lang w:eastAsia="zh-CN"/>
              </w:rPr>
              <w:t>详</w:t>
            </w:r>
            <w:r>
              <w:rPr>
                <w:rFonts w:hint="default" w:ascii="Times New Roman" w:hAnsi="Times New Roman" w:eastAsia="宋体" w:cs="Times New Roman"/>
                <w:b w:val="0"/>
                <w:bCs/>
                <w:color w:val="000000"/>
                <w:sz w:val="24"/>
                <w:szCs w:val="24"/>
                <w:highlight w:val="none"/>
              </w:rPr>
              <w:t>见表2-1。</w:t>
            </w:r>
          </w:p>
          <w:p w14:paraId="2D0A51E5">
            <w:pPr>
              <w:pStyle w:val="53"/>
              <w:spacing w:before="0" w:beforeLines="0" w:after="0" w:afterLines="0"/>
              <w:jc w:val="center"/>
              <w:rPr>
                <w:rFonts w:hint="default" w:ascii="Times New Roman" w:hAnsi="Times New Roman" w:eastAsia="宋体" w:cs="Times New Roman"/>
                <w:b/>
                <w:bCs w:val="0"/>
                <w:color w:val="000000"/>
                <w:sz w:val="24"/>
                <w:szCs w:val="24"/>
                <w:highlight w:val="none"/>
              </w:rPr>
            </w:pPr>
            <w:r>
              <w:rPr>
                <w:rFonts w:hint="default" w:ascii="Times New Roman" w:hAnsi="Times New Roman" w:eastAsia="宋体" w:cs="Times New Roman"/>
                <w:b/>
                <w:bCs w:val="0"/>
                <w:color w:val="000000"/>
                <w:sz w:val="24"/>
                <w:szCs w:val="24"/>
                <w:highlight w:val="none"/>
              </w:rPr>
              <w:t>表2-1建设项目环境影响评价分类管理名录（摘录）</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2"/>
              <w:gridCol w:w="1959"/>
              <w:gridCol w:w="2618"/>
              <w:gridCol w:w="943"/>
            </w:tblGrid>
            <w:tr w14:paraId="539A5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4" w:type="pct"/>
                  <w:tcBorders>
                    <w:tl2br w:val="single" w:color="auto" w:sz="4" w:space="0"/>
                  </w:tcBorders>
                  <w:shd w:val="clear" w:color="auto" w:fill="auto"/>
                  <w:noWrap w:val="0"/>
                  <w:vAlign w:val="center"/>
                </w:tcPr>
                <w:p w14:paraId="4EED4537">
                  <w:pPr>
                    <w:autoSpaceDE w:val="0"/>
                    <w:autoSpaceDN w:val="0"/>
                    <w:spacing w:line="240" w:lineRule="auto"/>
                    <w:ind w:firstLine="0" w:firstLineChars="0"/>
                    <w:jc w:val="right"/>
                    <w:textAlignment w:val="bottom"/>
                    <w:rPr>
                      <w:rFonts w:hint="default" w:ascii="Times New Roman" w:hAnsi="Times New Roman" w:eastAsia="宋体" w:cs="Times New Roman"/>
                      <w:b w:val="0"/>
                      <w:bCs w:val="0"/>
                      <w:spacing w:val="0"/>
                      <w:sz w:val="21"/>
                      <w:szCs w:val="21"/>
                      <w:highlight w:val="none"/>
                    </w:rPr>
                  </w:pPr>
                  <w:r>
                    <w:rPr>
                      <w:rFonts w:hint="default" w:ascii="Times New Roman" w:hAnsi="Times New Roman" w:eastAsia="宋体" w:cs="Times New Roman"/>
                      <w:b w:val="0"/>
                      <w:bCs w:val="0"/>
                      <w:spacing w:val="0"/>
                      <w:sz w:val="21"/>
                      <w:szCs w:val="21"/>
                      <w:highlight w:val="none"/>
                    </w:rPr>
                    <w:t>环评类别</w:t>
                  </w:r>
                </w:p>
                <w:p w14:paraId="5CCFF7D4">
                  <w:pPr>
                    <w:autoSpaceDE w:val="0"/>
                    <w:autoSpaceDN w:val="0"/>
                    <w:spacing w:line="240" w:lineRule="auto"/>
                    <w:ind w:firstLine="0" w:firstLineChars="0"/>
                    <w:jc w:val="left"/>
                    <w:textAlignment w:val="bottom"/>
                    <w:rPr>
                      <w:rFonts w:hint="default" w:ascii="Times New Roman" w:hAnsi="Times New Roman" w:eastAsia="宋体" w:cs="Times New Roman"/>
                      <w:b w:val="0"/>
                      <w:bCs w:val="0"/>
                      <w:spacing w:val="0"/>
                      <w:sz w:val="21"/>
                      <w:szCs w:val="21"/>
                      <w:highlight w:val="none"/>
                    </w:rPr>
                  </w:pPr>
                  <w:r>
                    <w:rPr>
                      <w:rFonts w:hint="default" w:ascii="Times New Roman" w:hAnsi="Times New Roman" w:eastAsia="宋体" w:cs="Times New Roman"/>
                      <w:b w:val="0"/>
                      <w:bCs w:val="0"/>
                      <w:spacing w:val="0"/>
                      <w:sz w:val="21"/>
                      <w:szCs w:val="21"/>
                      <w:highlight w:val="none"/>
                    </w:rPr>
                    <w:t>项目类别</w:t>
                  </w:r>
                </w:p>
              </w:tc>
              <w:tc>
                <w:tcPr>
                  <w:tcW w:w="1233" w:type="pct"/>
                  <w:shd w:val="clear" w:color="auto" w:fill="auto"/>
                  <w:noWrap w:val="0"/>
                  <w:vAlign w:val="center"/>
                </w:tcPr>
                <w:p w14:paraId="3EAF9B2E">
                  <w:pPr>
                    <w:autoSpaceDE w:val="0"/>
                    <w:autoSpaceDN w:val="0"/>
                    <w:spacing w:line="240" w:lineRule="auto"/>
                    <w:ind w:firstLine="0" w:firstLineChars="0"/>
                    <w:jc w:val="center"/>
                    <w:textAlignment w:val="bottom"/>
                    <w:rPr>
                      <w:rFonts w:hint="default" w:ascii="Times New Roman" w:hAnsi="Times New Roman" w:eastAsia="宋体" w:cs="Times New Roman"/>
                      <w:b w:val="0"/>
                      <w:bCs w:val="0"/>
                      <w:spacing w:val="0"/>
                      <w:sz w:val="21"/>
                      <w:szCs w:val="21"/>
                      <w:highlight w:val="none"/>
                    </w:rPr>
                  </w:pPr>
                  <w:r>
                    <w:rPr>
                      <w:rFonts w:hint="default" w:ascii="Times New Roman" w:hAnsi="Times New Roman" w:eastAsia="宋体" w:cs="Times New Roman"/>
                      <w:b w:val="0"/>
                      <w:bCs w:val="0"/>
                      <w:spacing w:val="0"/>
                      <w:sz w:val="21"/>
                      <w:szCs w:val="21"/>
                      <w:highlight w:val="none"/>
                    </w:rPr>
                    <w:t>报告书</w:t>
                  </w:r>
                </w:p>
              </w:tc>
              <w:tc>
                <w:tcPr>
                  <w:tcW w:w="1647" w:type="pct"/>
                  <w:shd w:val="clear" w:color="auto" w:fill="D7D7D7"/>
                  <w:noWrap w:val="0"/>
                  <w:vAlign w:val="center"/>
                </w:tcPr>
                <w:p w14:paraId="3B0AFC5C">
                  <w:pPr>
                    <w:autoSpaceDE w:val="0"/>
                    <w:autoSpaceDN w:val="0"/>
                    <w:spacing w:line="240" w:lineRule="auto"/>
                    <w:ind w:firstLine="0" w:firstLineChars="0"/>
                    <w:jc w:val="center"/>
                    <w:textAlignment w:val="bottom"/>
                    <w:rPr>
                      <w:rFonts w:hint="default" w:ascii="Times New Roman" w:hAnsi="Times New Roman" w:eastAsia="宋体" w:cs="Times New Roman"/>
                      <w:b w:val="0"/>
                      <w:bCs w:val="0"/>
                      <w:spacing w:val="0"/>
                      <w:sz w:val="21"/>
                      <w:szCs w:val="21"/>
                      <w:highlight w:val="none"/>
                    </w:rPr>
                  </w:pPr>
                  <w:r>
                    <w:rPr>
                      <w:rFonts w:hint="default" w:ascii="Times New Roman" w:hAnsi="Times New Roman" w:eastAsia="宋体" w:cs="Times New Roman"/>
                      <w:b w:val="0"/>
                      <w:bCs w:val="0"/>
                      <w:spacing w:val="0"/>
                      <w:sz w:val="21"/>
                      <w:szCs w:val="21"/>
                      <w:highlight w:val="none"/>
                    </w:rPr>
                    <w:t>报告表</w:t>
                  </w:r>
                </w:p>
              </w:tc>
              <w:tc>
                <w:tcPr>
                  <w:tcW w:w="593" w:type="pct"/>
                  <w:noWrap w:val="0"/>
                  <w:vAlign w:val="center"/>
                </w:tcPr>
                <w:p w14:paraId="4A4B77C2">
                  <w:pPr>
                    <w:autoSpaceDE w:val="0"/>
                    <w:autoSpaceDN w:val="0"/>
                    <w:spacing w:line="240" w:lineRule="auto"/>
                    <w:ind w:firstLine="0" w:firstLineChars="0"/>
                    <w:jc w:val="center"/>
                    <w:textAlignment w:val="bottom"/>
                    <w:rPr>
                      <w:rFonts w:hint="default" w:ascii="Times New Roman" w:hAnsi="Times New Roman" w:eastAsia="宋体" w:cs="Times New Roman"/>
                      <w:b w:val="0"/>
                      <w:bCs w:val="0"/>
                      <w:spacing w:val="0"/>
                      <w:sz w:val="21"/>
                      <w:szCs w:val="21"/>
                      <w:highlight w:val="none"/>
                    </w:rPr>
                  </w:pPr>
                  <w:r>
                    <w:rPr>
                      <w:rFonts w:hint="default" w:ascii="Times New Roman" w:hAnsi="Times New Roman" w:eastAsia="宋体" w:cs="Times New Roman"/>
                      <w:b w:val="0"/>
                      <w:bCs w:val="0"/>
                      <w:spacing w:val="0"/>
                      <w:sz w:val="21"/>
                      <w:szCs w:val="21"/>
                      <w:highlight w:val="none"/>
                    </w:rPr>
                    <w:t>登记表</w:t>
                  </w:r>
                </w:p>
              </w:tc>
            </w:tr>
            <w:tr w14:paraId="0A26C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shd w:val="clear" w:color="auto" w:fill="D7D7D7"/>
                  <w:noWrap w:val="0"/>
                  <w:vAlign w:val="center"/>
                </w:tcPr>
                <w:p w14:paraId="5B4DF082">
                  <w:pPr>
                    <w:autoSpaceDE w:val="0"/>
                    <w:autoSpaceDN w:val="0"/>
                    <w:spacing w:line="240" w:lineRule="auto"/>
                    <w:ind w:firstLine="0" w:firstLineChars="0"/>
                    <w:jc w:val="both"/>
                    <w:textAlignment w:val="bottom"/>
                    <w:rPr>
                      <w:rFonts w:hint="default" w:ascii="Times New Roman" w:hAnsi="Times New Roman" w:eastAsia="宋体" w:cs="Times New Roman"/>
                      <w:spacing w:val="0"/>
                      <w:sz w:val="21"/>
                      <w:szCs w:val="21"/>
                      <w:highlight w:val="none"/>
                      <w:lang w:val="en-US"/>
                    </w:rPr>
                  </w:pPr>
                  <w:r>
                    <w:rPr>
                      <w:rFonts w:hint="eastAsia" w:ascii="Times New Roman" w:hAnsi="Times New Roman" w:eastAsia="宋体" w:cs="Times New Roman"/>
                      <w:spacing w:val="0"/>
                      <w:sz w:val="21"/>
                      <w:szCs w:val="21"/>
                      <w:highlight w:val="none"/>
                      <w:lang w:eastAsia="zh-CN"/>
                    </w:rPr>
                    <w:t>二十、印刷和记录媒介复制业</w:t>
                  </w:r>
                  <w:r>
                    <w:rPr>
                      <w:rFonts w:hint="eastAsia" w:ascii="Times New Roman" w:hAnsi="Times New Roman" w:eastAsia="宋体" w:cs="Times New Roman"/>
                      <w:spacing w:val="0"/>
                      <w:sz w:val="21"/>
                      <w:szCs w:val="21"/>
                      <w:highlight w:val="none"/>
                      <w:lang w:val="en-US" w:eastAsia="zh-CN"/>
                    </w:rPr>
                    <w:t>23</w:t>
                  </w:r>
                </w:p>
              </w:tc>
            </w:tr>
            <w:tr w14:paraId="68AE4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4" w:type="pct"/>
                  <w:shd w:val="clear" w:color="auto" w:fill="auto"/>
                  <w:noWrap w:val="0"/>
                  <w:vAlign w:val="center"/>
                </w:tcPr>
                <w:p w14:paraId="140C8A36">
                  <w:pPr>
                    <w:autoSpaceDE w:val="0"/>
                    <w:autoSpaceDN w:val="0"/>
                    <w:spacing w:line="240" w:lineRule="auto"/>
                    <w:ind w:firstLine="0" w:firstLineChars="0"/>
                    <w:jc w:val="center"/>
                    <w:textAlignment w:val="bottom"/>
                    <w:rPr>
                      <w:rFonts w:hint="default" w:ascii="Times New Roman" w:hAnsi="Times New Roman" w:eastAsia="宋体" w:cs="Times New Roman"/>
                      <w:spacing w:val="0"/>
                      <w:sz w:val="21"/>
                      <w:szCs w:val="21"/>
                      <w:highlight w:val="none"/>
                      <w:vertAlign w:val="superscript"/>
                      <w:lang w:val="en-US" w:eastAsia="zh-CN"/>
                    </w:rPr>
                  </w:pPr>
                  <w:r>
                    <w:rPr>
                      <w:rFonts w:hint="eastAsia" w:ascii="Times New Roman" w:hAnsi="Times New Roman" w:eastAsia="宋体" w:cs="Times New Roman"/>
                      <w:spacing w:val="0"/>
                      <w:sz w:val="21"/>
                      <w:szCs w:val="21"/>
                      <w:highlight w:val="none"/>
                      <w:lang w:val="en-US" w:eastAsia="zh-CN"/>
                    </w:rPr>
                    <w:t>39、印刷 231*</w:t>
                  </w:r>
                </w:p>
              </w:tc>
              <w:tc>
                <w:tcPr>
                  <w:tcW w:w="1233" w:type="pct"/>
                  <w:shd w:val="clear" w:color="auto" w:fill="auto"/>
                  <w:noWrap w:val="0"/>
                  <w:vAlign w:val="center"/>
                </w:tcPr>
                <w:p w14:paraId="71828621">
                  <w:pPr>
                    <w:widowControl/>
                    <w:spacing w:line="240" w:lineRule="auto"/>
                    <w:ind w:firstLine="0" w:firstLineChars="0"/>
                    <w:jc w:val="both"/>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spacing w:val="0"/>
                      <w:sz w:val="21"/>
                      <w:szCs w:val="21"/>
                      <w:highlight w:val="none"/>
                      <w:lang w:val="en-US" w:eastAsia="zh-CN"/>
                    </w:rPr>
                    <w:t>年用溶剂油墨10吨及以上的</w:t>
                  </w:r>
                </w:p>
              </w:tc>
              <w:tc>
                <w:tcPr>
                  <w:tcW w:w="1647" w:type="pct"/>
                  <w:shd w:val="clear" w:color="auto" w:fill="D7D7D7"/>
                  <w:noWrap w:val="0"/>
                  <w:vAlign w:val="center"/>
                </w:tcPr>
                <w:p w14:paraId="14419DC3">
                  <w:pPr>
                    <w:widowControl/>
                    <w:spacing w:line="240" w:lineRule="auto"/>
                    <w:ind w:firstLine="0" w:firstLineChars="0"/>
                    <w:jc w:val="both"/>
                    <w:rPr>
                      <w:rFonts w:hint="default" w:ascii="Times New Roman" w:hAnsi="Times New Roman" w:eastAsia="宋体" w:cs="Times New Roman"/>
                      <w:spacing w:val="0"/>
                      <w:sz w:val="21"/>
                      <w:szCs w:val="21"/>
                      <w:highlight w:val="none"/>
                      <w:lang w:val="en-US" w:eastAsia="zh-CN"/>
                    </w:rPr>
                  </w:pPr>
                  <w:r>
                    <w:rPr>
                      <w:rFonts w:hint="eastAsia"/>
                      <w:b/>
                      <w:bCs/>
                      <w:spacing w:val="0"/>
                      <w:sz w:val="21"/>
                      <w:szCs w:val="21"/>
                      <w:highlight w:val="none"/>
                      <w:lang w:val="en-US" w:eastAsia="zh-CN"/>
                    </w:rPr>
                    <w:t>其他（激光印刷除外；年用低VOCs含量油墨10吨以下的印刷除外）</w:t>
                  </w:r>
                </w:p>
              </w:tc>
              <w:tc>
                <w:tcPr>
                  <w:tcW w:w="593" w:type="pct"/>
                  <w:noWrap w:val="0"/>
                  <w:vAlign w:val="center"/>
                </w:tcPr>
                <w:p w14:paraId="715993FF">
                  <w:pPr>
                    <w:spacing w:line="240" w:lineRule="auto"/>
                    <w:ind w:firstLine="0" w:firstLineChars="0"/>
                    <w:jc w:val="both"/>
                    <w:rPr>
                      <w:rFonts w:hint="default" w:ascii="Times New Roman" w:hAnsi="Times New Roman" w:eastAsia="宋体" w:cs="Times New Roman"/>
                      <w:spacing w:val="0"/>
                      <w:sz w:val="21"/>
                      <w:szCs w:val="21"/>
                      <w:highlight w:val="none"/>
                    </w:rPr>
                  </w:pPr>
                  <w:r>
                    <w:rPr>
                      <w:rFonts w:hint="default" w:ascii="Times New Roman" w:hAnsi="Times New Roman" w:eastAsia="宋体" w:cs="Times New Roman"/>
                      <w:color w:val="000000"/>
                      <w:spacing w:val="0"/>
                      <w:sz w:val="21"/>
                      <w:szCs w:val="21"/>
                      <w:highlight w:val="none"/>
                    </w:rPr>
                    <w:t>/</w:t>
                  </w:r>
                </w:p>
              </w:tc>
            </w:tr>
          </w:tbl>
          <w:p w14:paraId="026CC2B5">
            <w:pPr>
              <w:pStyle w:val="56"/>
              <w:keepNext w:val="0"/>
              <w:keepLines w:val="0"/>
              <w:pageBreakBefore w:val="0"/>
              <w:widowControl w:val="0"/>
              <w:kinsoku/>
              <w:wordWrap/>
              <w:overflowPunct/>
              <w:topLinePunct w:val="0"/>
              <w:autoSpaceDE/>
              <w:autoSpaceDN/>
              <w:bidi w:val="0"/>
              <w:adjustRightInd w:val="0"/>
              <w:snapToGrid w:val="0"/>
              <w:spacing w:before="157" w:beforeLines="50" w:after="0" w:afterLines="0" w:line="360" w:lineRule="auto"/>
              <w:textAlignment w:val="auto"/>
              <w:outlineLvl w:val="1"/>
              <w:rPr>
                <w:rFonts w:hint="default" w:ascii="Times New Roman" w:hAnsi="Times New Roman" w:eastAsia="宋体" w:cs="Times New Roman"/>
                <w:color w:val="000000"/>
                <w:highlight w:val="none"/>
                <w:lang w:eastAsia="zh-CN"/>
              </w:rPr>
            </w:pPr>
            <w:r>
              <w:rPr>
                <w:rFonts w:hint="default"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rPr>
              <w:t>.</w:t>
            </w:r>
            <w:r>
              <w:rPr>
                <w:rFonts w:hint="default" w:ascii="Times New Roman" w:hAnsi="Times New Roman" w:eastAsia="宋体" w:cs="Times New Roman"/>
                <w:color w:val="000000"/>
                <w:highlight w:val="none"/>
                <w:lang w:val="en-US" w:eastAsia="zh-CN"/>
              </w:rPr>
              <w:t>2项目</w:t>
            </w:r>
            <w:r>
              <w:rPr>
                <w:rFonts w:hint="default" w:ascii="Times New Roman" w:hAnsi="Times New Roman" w:eastAsia="宋体" w:cs="Times New Roman"/>
                <w:color w:val="000000"/>
                <w:highlight w:val="none"/>
                <w:lang w:eastAsia="zh-CN"/>
              </w:rPr>
              <w:t>组成</w:t>
            </w:r>
          </w:p>
          <w:p w14:paraId="7992CA80">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eastAsia" w:ascii="Times New Roman" w:hAnsi="Times New Roman" w:eastAsia="宋体" w:cs="Times New Roman"/>
                <w:b w:val="0"/>
                <w:bCs/>
                <w:color w:val="000000"/>
                <w:sz w:val="24"/>
                <w:szCs w:val="24"/>
                <w:highlight w:val="none"/>
                <w:lang w:eastAsia="zh-CN"/>
              </w:rPr>
            </w:pPr>
            <w:r>
              <w:rPr>
                <w:rFonts w:hint="eastAsia" w:ascii="Times New Roman" w:hAnsi="Times New Roman" w:eastAsia="宋体" w:cs="Times New Roman"/>
                <w:b w:val="0"/>
                <w:bCs/>
                <w:color w:val="000000"/>
                <w:sz w:val="24"/>
                <w:szCs w:val="24"/>
                <w:highlight w:val="none"/>
                <w:lang w:eastAsia="zh-CN"/>
              </w:rPr>
              <w:t>（</w:t>
            </w:r>
            <w:r>
              <w:rPr>
                <w:rFonts w:hint="eastAsia" w:ascii="Times New Roman" w:hAnsi="Times New Roman" w:eastAsia="宋体" w:cs="Times New Roman"/>
                <w:b w:val="0"/>
                <w:bCs/>
                <w:color w:val="000000"/>
                <w:sz w:val="24"/>
                <w:szCs w:val="24"/>
                <w:highlight w:val="none"/>
                <w:lang w:val="en-US" w:eastAsia="zh-CN"/>
              </w:rPr>
              <w:t>1）</w:t>
            </w:r>
            <w:r>
              <w:rPr>
                <w:rFonts w:hint="eastAsia" w:ascii="Times New Roman" w:hAnsi="Times New Roman" w:eastAsia="宋体" w:cs="Times New Roman"/>
                <w:b w:val="0"/>
                <w:bCs/>
                <w:color w:val="000000"/>
                <w:sz w:val="24"/>
                <w:szCs w:val="24"/>
                <w:highlight w:val="none"/>
                <w:lang w:eastAsia="zh-CN"/>
              </w:rPr>
              <w:t>项目名称：泉州市隆泰服装印花有限公司</w:t>
            </w:r>
            <w:r>
              <w:rPr>
                <w:rFonts w:hint="eastAsia" w:ascii="Times New Roman" w:hAnsi="Times New Roman" w:cs="Times New Roman"/>
                <w:b w:val="0"/>
                <w:bCs/>
                <w:color w:val="000000"/>
                <w:sz w:val="24"/>
                <w:szCs w:val="24"/>
                <w:highlight w:val="none"/>
                <w:lang w:eastAsia="zh-CN"/>
              </w:rPr>
              <w:t>改</w:t>
            </w:r>
            <w:r>
              <w:rPr>
                <w:rFonts w:hint="eastAsia" w:ascii="Times New Roman" w:hAnsi="Times New Roman" w:eastAsia="宋体" w:cs="Times New Roman"/>
                <w:b w:val="0"/>
                <w:bCs/>
                <w:color w:val="000000"/>
                <w:sz w:val="24"/>
                <w:szCs w:val="24"/>
                <w:highlight w:val="none"/>
                <w:lang w:eastAsia="zh-CN"/>
              </w:rPr>
              <w:t>扩建项目</w:t>
            </w:r>
          </w:p>
          <w:p w14:paraId="7E27FBC4">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eastAsia"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eastAsia="zh-CN"/>
              </w:rPr>
              <w:t>（</w:t>
            </w:r>
            <w:r>
              <w:rPr>
                <w:rFonts w:hint="eastAsia" w:ascii="Times New Roman" w:hAnsi="Times New Roman" w:eastAsia="宋体" w:cs="Times New Roman"/>
                <w:b w:val="0"/>
                <w:bCs/>
                <w:color w:val="000000"/>
                <w:sz w:val="24"/>
                <w:szCs w:val="24"/>
                <w:highlight w:val="none"/>
                <w:lang w:val="en-US" w:eastAsia="zh-CN"/>
              </w:rPr>
              <w:t>2）建设单位：泉州市隆泰服装印花有限公司</w:t>
            </w:r>
          </w:p>
          <w:p w14:paraId="390C65BE">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eastAsia"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（3）建设地点：</w:t>
            </w:r>
            <w:r>
              <w:rPr>
                <w:rFonts w:hint="eastAsia" w:ascii="Times New Roman" w:hAnsi="Times New Roman" w:cs="Times New Roman"/>
                <w:b w:val="0"/>
                <w:bCs/>
                <w:color w:val="000000"/>
                <w:sz w:val="24"/>
                <w:szCs w:val="24"/>
                <w:highlight w:val="none"/>
                <w:lang w:val="en-US" w:eastAsia="zh-CN"/>
              </w:rPr>
              <w:t>福建省泉州市鲤城区紫安路1号</w:t>
            </w:r>
          </w:p>
          <w:p w14:paraId="3C523AEA">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eastAsia"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（4）总投资：新增投资80万元，</w:t>
            </w:r>
            <w:r>
              <w:rPr>
                <w:rFonts w:hint="eastAsia" w:ascii="Times New Roman" w:hAnsi="Times New Roman" w:cs="Times New Roman"/>
                <w:b w:val="0"/>
                <w:bCs/>
                <w:color w:val="000000"/>
                <w:sz w:val="24"/>
                <w:szCs w:val="24"/>
                <w:highlight w:val="none"/>
                <w:lang w:val="en-US" w:eastAsia="zh-CN"/>
              </w:rPr>
              <w:t>改</w:t>
            </w:r>
            <w:r>
              <w:rPr>
                <w:rFonts w:hint="eastAsia" w:ascii="Times New Roman" w:hAnsi="Times New Roman" w:eastAsia="宋体" w:cs="Times New Roman"/>
                <w:b w:val="0"/>
                <w:bCs/>
                <w:color w:val="000000"/>
                <w:sz w:val="24"/>
                <w:szCs w:val="24"/>
                <w:highlight w:val="none"/>
                <w:lang w:val="en-US" w:eastAsia="zh-CN"/>
              </w:rPr>
              <w:t>扩建后总投资180万元</w:t>
            </w:r>
          </w:p>
          <w:p w14:paraId="022C3121">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eastAsia"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（5）建设性质：</w:t>
            </w:r>
            <w:r>
              <w:rPr>
                <w:rFonts w:hint="eastAsia" w:ascii="Times New Roman" w:hAnsi="Times New Roman" w:cs="Times New Roman"/>
                <w:b w:val="0"/>
                <w:bCs/>
                <w:color w:val="000000"/>
                <w:sz w:val="24"/>
                <w:szCs w:val="24"/>
                <w:highlight w:val="none"/>
                <w:lang w:val="en-US" w:eastAsia="zh-CN"/>
              </w:rPr>
              <w:t>改</w:t>
            </w:r>
            <w:r>
              <w:rPr>
                <w:rFonts w:hint="eastAsia" w:ascii="Times New Roman" w:hAnsi="Times New Roman" w:eastAsia="宋体" w:cs="Times New Roman"/>
                <w:b w:val="0"/>
                <w:bCs/>
                <w:color w:val="000000"/>
                <w:sz w:val="24"/>
                <w:szCs w:val="24"/>
                <w:highlight w:val="none"/>
                <w:lang w:val="en-US" w:eastAsia="zh-CN"/>
              </w:rPr>
              <w:t>扩建</w:t>
            </w:r>
          </w:p>
          <w:p w14:paraId="6EEB9D9E">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eastAsia"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（6）建设规模：项目系租赁“泉州达利彩印有限公司”</w:t>
            </w:r>
            <w:r>
              <w:rPr>
                <w:rFonts w:hint="eastAsia" w:ascii="Times New Roman" w:hAnsi="Times New Roman" w:cs="Times New Roman"/>
                <w:b w:val="0"/>
                <w:bCs/>
                <w:color w:val="000000"/>
                <w:sz w:val="24"/>
                <w:szCs w:val="24"/>
                <w:highlight w:val="none"/>
                <w:lang w:val="en-US" w:eastAsia="zh-CN"/>
              </w:rPr>
              <w:t>空置</w:t>
            </w:r>
            <w:r>
              <w:rPr>
                <w:rFonts w:hint="eastAsia" w:ascii="Times New Roman" w:hAnsi="Times New Roman" w:eastAsia="宋体" w:cs="Times New Roman"/>
                <w:b w:val="0"/>
                <w:bCs/>
                <w:color w:val="000000"/>
                <w:sz w:val="24"/>
                <w:szCs w:val="24"/>
                <w:highlight w:val="none"/>
                <w:lang w:val="en-US" w:eastAsia="zh-CN"/>
              </w:rPr>
              <w:t>厂房</w:t>
            </w:r>
            <w:r>
              <w:rPr>
                <w:rFonts w:hint="eastAsia" w:ascii="Times New Roman" w:hAnsi="Times New Roman" w:cs="Times New Roman"/>
                <w:b w:val="0"/>
                <w:bCs/>
                <w:color w:val="000000"/>
                <w:sz w:val="24"/>
                <w:szCs w:val="24"/>
                <w:highlight w:val="none"/>
                <w:lang w:val="en-US" w:eastAsia="zh-CN"/>
              </w:rPr>
              <w:t>及办公、宿舍楼，</w:t>
            </w:r>
            <w:r>
              <w:rPr>
                <w:rFonts w:hint="eastAsia" w:ascii="Times New Roman" w:hAnsi="Times New Roman" w:eastAsia="宋体" w:cs="Times New Roman"/>
                <w:b w:val="0"/>
                <w:bCs/>
                <w:color w:val="000000"/>
                <w:sz w:val="24"/>
                <w:szCs w:val="24"/>
                <w:highlight w:val="none"/>
                <w:lang w:val="en-US" w:eastAsia="zh-CN"/>
              </w:rPr>
              <w:t>租赁建筑面积</w:t>
            </w:r>
            <w:r>
              <w:rPr>
                <w:rFonts w:hint="eastAsia" w:ascii="Times New Roman" w:hAnsi="Times New Roman" w:cs="Times New Roman"/>
                <w:b w:val="0"/>
                <w:bCs/>
                <w:color w:val="000000"/>
                <w:sz w:val="24"/>
                <w:szCs w:val="24"/>
                <w:highlight w:val="none"/>
                <w:lang w:val="en-US" w:eastAsia="zh-CN"/>
              </w:rPr>
              <w:t>43</w:t>
            </w:r>
            <w:r>
              <w:rPr>
                <w:rFonts w:hint="eastAsia" w:ascii="Times New Roman" w:hAnsi="Times New Roman" w:eastAsia="宋体" w:cs="Times New Roman"/>
                <w:b w:val="0"/>
                <w:bCs/>
                <w:color w:val="000000"/>
                <w:sz w:val="24"/>
                <w:szCs w:val="24"/>
                <w:highlight w:val="none"/>
                <w:lang w:val="en-US" w:eastAsia="zh-CN"/>
              </w:rPr>
              <w:t>00m</w:t>
            </w:r>
            <w:r>
              <w:rPr>
                <w:rFonts w:hint="eastAsia" w:ascii="Times New Roman" w:hAnsi="Times New Roman" w:eastAsia="宋体" w:cs="Times New Roman"/>
                <w:b w:val="0"/>
                <w:bCs/>
                <w:color w:val="000000"/>
                <w:sz w:val="24"/>
                <w:szCs w:val="24"/>
                <w:highlight w:val="none"/>
                <w:vertAlign w:val="superscript"/>
                <w:lang w:val="en-US" w:eastAsia="zh-CN"/>
              </w:rPr>
              <w:t>2</w:t>
            </w:r>
            <w:r>
              <w:rPr>
                <w:rFonts w:hint="eastAsia" w:ascii="Times New Roman" w:hAnsi="Times New Roman" w:eastAsia="宋体" w:cs="Times New Roman"/>
                <w:b w:val="0"/>
                <w:bCs/>
                <w:color w:val="000000"/>
                <w:sz w:val="24"/>
                <w:szCs w:val="24"/>
                <w:highlight w:val="none"/>
                <w:lang w:val="en-US" w:eastAsia="zh-CN"/>
              </w:rPr>
              <w:t>。</w:t>
            </w:r>
          </w:p>
          <w:p w14:paraId="024127FD">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eastAsia" w:ascii="Times New Roman" w:hAnsi="Times New Roman" w:eastAsia="宋体" w:cs="Times New Roman"/>
                <w:b w:val="0"/>
                <w:bCs/>
                <w:color w:val="000000"/>
                <w:kern w:val="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（7）生产规模：年</w:t>
            </w:r>
            <w:r>
              <w:rPr>
                <w:rFonts w:hint="eastAsia" w:ascii="Times New Roman" w:hAnsi="Times New Roman" w:eastAsia="宋体" w:cs="Times New Roman"/>
                <w:b w:val="0"/>
                <w:bCs/>
                <w:color w:val="000000"/>
                <w:kern w:val="0"/>
                <w:sz w:val="24"/>
                <w:szCs w:val="24"/>
                <w:highlight w:val="none"/>
                <w:lang w:val="en-US" w:eastAsia="zh-CN"/>
              </w:rPr>
              <w:t>产服装20万件、印花</w:t>
            </w:r>
            <w:r>
              <w:rPr>
                <w:rFonts w:hint="eastAsia" w:ascii="Times New Roman" w:hAnsi="Times New Roman" w:cs="Times New Roman"/>
                <w:b w:val="0"/>
                <w:bCs/>
                <w:color w:val="000000"/>
                <w:kern w:val="0"/>
                <w:sz w:val="24"/>
                <w:szCs w:val="24"/>
                <w:highlight w:val="none"/>
                <w:lang w:val="en-US" w:eastAsia="zh-CN"/>
              </w:rPr>
              <w:t>片</w:t>
            </w:r>
            <w:r>
              <w:rPr>
                <w:rFonts w:hint="eastAsia" w:ascii="Times New Roman" w:hAnsi="Times New Roman" w:eastAsia="宋体" w:cs="Times New Roman"/>
                <w:b w:val="0"/>
                <w:bCs/>
                <w:color w:val="000000"/>
                <w:kern w:val="0"/>
                <w:sz w:val="24"/>
                <w:szCs w:val="24"/>
                <w:highlight w:val="none"/>
                <w:lang w:val="en-US" w:eastAsia="zh-CN"/>
              </w:rPr>
              <w:t>130万片、印花布50万米。</w:t>
            </w:r>
          </w:p>
          <w:p w14:paraId="7DA6AFA1">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eastAsia" w:ascii="Times New Roman" w:hAnsi="Times New Roman" w:eastAsia="宋体" w:cs="Times New Roman"/>
                <w:b w:val="0"/>
                <w:bCs/>
                <w:color w:val="000000"/>
                <w:kern w:val="0"/>
                <w:sz w:val="24"/>
                <w:szCs w:val="24"/>
                <w:highlight w:val="none"/>
                <w:lang w:val="en-US" w:eastAsia="zh-CN"/>
              </w:rPr>
            </w:pPr>
            <w:r>
              <w:rPr>
                <w:rFonts w:hint="eastAsia" w:ascii="Times New Roman" w:hAnsi="Times New Roman" w:eastAsia="宋体" w:cs="Times New Roman"/>
                <w:b w:val="0"/>
                <w:bCs/>
                <w:color w:val="000000"/>
                <w:kern w:val="0"/>
                <w:sz w:val="24"/>
                <w:szCs w:val="24"/>
                <w:highlight w:val="none"/>
                <w:lang w:val="en-US" w:eastAsia="zh-CN"/>
              </w:rPr>
              <w:t>（8）职工人数：职工</w:t>
            </w:r>
            <w:r>
              <w:rPr>
                <w:rFonts w:hint="eastAsia" w:ascii="Times New Roman" w:hAnsi="Times New Roman" w:cs="Times New Roman"/>
                <w:b w:val="0"/>
                <w:bCs/>
                <w:color w:val="000000"/>
                <w:kern w:val="0"/>
                <w:sz w:val="24"/>
                <w:szCs w:val="24"/>
                <w:highlight w:val="none"/>
                <w:lang w:val="en-US" w:eastAsia="zh-CN"/>
              </w:rPr>
              <w:t>6</w:t>
            </w:r>
            <w:r>
              <w:rPr>
                <w:rFonts w:hint="eastAsia" w:ascii="Times New Roman" w:hAnsi="Times New Roman" w:eastAsia="宋体" w:cs="Times New Roman"/>
                <w:b w:val="0"/>
                <w:bCs/>
                <w:color w:val="000000"/>
                <w:kern w:val="0"/>
                <w:sz w:val="24"/>
                <w:szCs w:val="24"/>
                <w:highlight w:val="none"/>
                <w:lang w:val="en-US" w:eastAsia="zh-CN"/>
              </w:rPr>
              <w:t>0人，住宿职工</w:t>
            </w:r>
            <w:r>
              <w:rPr>
                <w:rFonts w:hint="eastAsia" w:ascii="Times New Roman" w:hAnsi="Times New Roman" w:cs="Times New Roman"/>
                <w:b w:val="0"/>
                <w:bCs/>
                <w:color w:val="000000"/>
                <w:kern w:val="0"/>
                <w:sz w:val="24"/>
                <w:szCs w:val="24"/>
                <w:highlight w:val="none"/>
                <w:lang w:val="en-US" w:eastAsia="zh-CN"/>
              </w:rPr>
              <w:t>60</w:t>
            </w:r>
            <w:r>
              <w:rPr>
                <w:rFonts w:hint="eastAsia" w:ascii="Times New Roman" w:hAnsi="Times New Roman" w:eastAsia="宋体" w:cs="Times New Roman"/>
                <w:b w:val="0"/>
                <w:bCs/>
                <w:color w:val="000000"/>
                <w:kern w:val="0"/>
                <w:sz w:val="24"/>
                <w:szCs w:val="24"/>
                <w:highlight w:val="none"/>
                <w:lang w:val="en-US" w:eastAsia="zh-CN"/>
              </w:rPr>
              <w:t>人。</w:t>
            </w:r>
          </w:p>
          <w:p w14:paraId="14B4A32F">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eastAsia" w:ascii="Times New Roman" w:hAnsi="Times New Roman" w:eastAsia="宋体" w:cs="Times New Roman"/>
                <w:b w:val="0"/>
                <w:bCs/>
                <w:color w:val="000000"/>
                <w:kern w:val="0"/>
                <w:sz w:val="24"/>
                <w:szCs w:val="24"/>
                <w:highlight w:val="none"/>
                <w:lang w:val="en-US" w:eastAsia="zh-CN"/>
              </w:rPr>
            </w:pPr>
            <w:r>
              <w:rPr>
                <w:rFonts w:hint="eastAsia" w:ascii="Times New Roman" w:hAnsi="Times New Roman" w:eastAsia="宋体" w:cs="Times New Roman"/>
                <w:b w:val="0"/>
                <w:bCs/>
                <w:color w:val="000000"/>
                <w:kern w:val="0"/>
                <w:sz w:val="24"/>
                <w:szCs w:val="24"/>
                <w:highlight w:val="none"/>
                <w:lang w:val="en-US" w:eastAsia="zh-CN"/>
              </w:rPr>
              <w:t>（9）工作制度：年工作300天，每天工作12小时，夜间不生产。</w:t>
            </w:r>
          </w:p>
          <w:p w14:paraId="6252F68D">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eastAsia" w:ascii="Times New Roman" w:hAnsi="Times New Roman" w:eastAsia="宋体" w:cs="Times New Roman"/>
                <w:b w:val="0"/>
                <w:bCs/>
                <w:color w:val="000000"/>
                <w:kern w:val="0"/>
                <w:sz w:val="24"/>
                <w:szCs w:val="24"/>
                <w:highlight w:val="none"/>
                <w:lang w:val="en-US" w:eastAsia="zh-CN"/>
              </w:rPr>
            </w:pPr>
            <w:r>
              <w:rPr>
                <w:rFonts w:hint="eastAsia" w:ascii="Times New Roman" w:hAnsi="Times New Roman" w:eastAsia="宋体" w:cs="Times New Roman"/>
                <w:b w:val="0"/>
                <w:bCs/>
                <w:color w:val="000000"/>
                <w:kern w:val="0"/>
                <w:sz w:val="24"/>
                <w:szCs w:val="24"/>
                <w:highlight w:val="none"/>
                <w:lang w:val="en-US" w:eastAsia="zh-CN"/>
              </w:rPr>
              <w:t>项目</w:t>
            </w:r>
            <w:r>
              <w:rPr>
                <w:rFonts w:hint="eastAsia" w:ascii="Times New Roman" w:hAnsi="Times New Roman" w:cs="Times New Roman"/>
                <w:b w:val="0"/>
                <w:bCs/>
                <w:color w:val="000000"/>
                <w:kern w:val="0"/>
                <w:sz w:val="24"/>
                <w:szCs w:val="24"/>
                <w:highlight w:val="none"/>
                <w:lang w:val="en-US" w:eastAsia="zh-CN"/>
              </w:rPr>
              <w:t>改</w:t>
            </w:r>
            <w:r>
              <w:rPr>
                <w:rFonts w:hint="eastAsia" w:ascii="Times New Roman" w:hAnsi="Times New Roman" w:eastAsia="宋体" w:cs="Times New Roman"/>
                <w:b w:val="0"/>
                <w:bCs/>
                <w:color w:val="000000"/>
                <w:kern w:val="0"/>
                <w:sz w:val="24"/>
                <w:szCs w:val="24"/>
                <w:highlight w:val="none"/>
                <w:lang w:val="en-US" w:eastAsia="zh-CN"/>
              </w:rPr>
              <w:t>扩建前后基本情况变化见表2-2</w:t>
            </w:r>
            <w:r>
              <w:rPr>
                <w:rFonts w:hint="eastAsia" w:ascii="Times New Roman" w:hAnsi="Times New Roman" w:cs="Times New Roman"/>
                <w:b w:val="0"/>
                <w:bCs/>
                <w:color w:val="000000"/>
                <w:kern w:val="0"/>
                <w:sz w:val="24"/>
                <w:szCs w:val="24"/>
                <w:highlight w:val="none"/>
                <w:lang w:val="en-US" w:eastAsia="zh-CN"/>
              </w:rPr>
              <w:t>。</w:t>
            </w:r>
          </w:p>
          <w:p w14:paraId="7CBF8E07">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textAlignment w:val="auto"/>
              <w:rPr>
                <w:rFonts w:hint="default" w:ascii="Times New Roman" w:hAnsi="Times New Roman" w:eastAsia="宋体" w:cs="Times New Roman"/>
                <w:b w:val="0"/>
                <w:bCs/>
                <w:color w:val="000000"/>
                <w:kern w:val="0"/>
                <w:sz w:val="24"/>
                <w:szCs w:val="24"/>
                <w:highlight w:val="none"/>
                <w:lang w:val="en-US" w:eastAsia="zh-CN"/>
              </w:rPr>
            </w:pPr>
            <w:r>
              <w:rPr>
                <w:rFonts w:hint="default" w:ascii="Times New Roman" w:hAnsi="Times New Roman" w:eastAsia="宋体" w:cs="Times New Roman"/>
                <w:b/>
                <w:bCs/>
                <w:color w:val="000000"/>
                <w:sz w:val="24"/>
                <w:szCs w:val="24"/>
                <w:highlight w:val="none"/>
              </w:rPr>
              <w:t>表</w:t>
            </w:r>
            <w:r>
              <w:rPr>
                <w:rFonts w:hint="default"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rPr>
              <w:t>-</w:t>
            </w:r>
            <w:r>
              <w:rPr>
                <w:rFonts w:hint="eastAsia"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rPr>
              <w:t xml:space="preserve"> </w:t>
            </w:r>
            <w:r>
              <w:rPr>
                <w:rFonts w:hint="eastAsia" w:eastAsia="宋体" w:cs="Times New Roman"/>
                <w:b/>
                <w:bCs/>
                <w:color w:val="000000"/>
                <w:sz w:val="24"/>
                <w:szCs w:val="24"/>
                <w:highlight w:val="none"/>
                <w:lang w:eastAsia="zh-CN"/>
              </w:rPr>
              <w:t>改扩建</w:t>
            </w:r>
            <w:r>
              <w:rPr>
                <w:rFonts w:hint="eastAsia" w:ascii="Times New Roman" w:hAnsi="Times New Roman" w:eastAsia="宋体" w:cs="Times New Roman"/>
                <w:b/>
                <w:bCs/>
                <w:color w:val="000000"/>
                <w:sz w:val="24"/>
                <w:szCs w:val="24"/>
                <w:highlight w:val="none"/>
                <w:lang w:eastAsia="zh-CN"/>
              </w:rPr>
              <w:t>前后项目基本情况变化一览表</w:t>
            </w:r>
          </w:p>
          <w:tbl>
            <w:tblPr>
              <w:tblStyle w:val="26"/>
              <w:tblW w:w="794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671"/>
              <w:gridCol w:w="1602"/>
              <w:gridCol w:w="1986"/>
              <w:gridCol w:w="1987"/>
            </w:tblGrid>
            <w:tr w14:paraId="457C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tcBorders>
                    <w:top w:val="single" w:color="auto" w:sz="12" w:space="0"/>
                    <w:left w:val="nil"/>
                  </w:tcBorders>
                  <w:noWrap w:val="0"/>
                  <w:vAlign w:val="center"/>
                </w:tcPr>
                <w:p w14:paraId="3602B748">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类别</w:t>
                  </w:r>
                </w:p>
              </w:tc>
              <w:tc>
                <w:tcPr>
                  <w:tcW w:w="2273" w:type="dxa"/>
                  <w:gridSpan w:val="2"/>
                  <w:tcBorders>
                    <w:top w:val="single" w:color="auto" w:sz="12" w:space="0"/>
                  </w:tcBorders>
                  <w:noWrap w:val="0"/>
                  <w:vAlign w:val="center"/>
                </w:tcPr>
                <w:p w14:paraId="3DE5F7DD">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eastAsia="宋体" w:cs="Times New Roman"/>
                      <w:b w:val="0"/>
                      <w:bCs w:val="0"/>
                      <w:color w:val="000000"/>
                      <w:sz w:val="21"/>
                      <w:szCs w:val="21"/>
                      <w:highlight w:val="none"/>
                      <w:vertAlign w:val="baseline"/>
                      <w:lang w:eastAsia="zh-CN"/>
                    </w:rPr>
                    <w:t>改扩建</w:t>
                  </w:r>
                  <w:r>
                    <w:rPr>
                      <w:rFonts w:hint="eastAsia" w:ascii="Times New Roman" w:hAnsi="Times New Roman" w:eastAsia="宋体" w:cs="Times New Roman"/>
                      <w:b w:val="0"/>
                      <w:bCs w:val="0"/>
                      <w:color w:val="000000"/>
                      <w:sz w:val="21"/>
                      <w:szCs w:val="21"/>
                      <w:highlight w:val="none"/>
                      <w:vertAlign w:val="baseline"/>
                      <w:lang w:eastAsia="zh-CN"/>
                    </w:rPr>
                    <w:t>前</w:t>
                  </w:r>
                </w:p>
              </w:tc>
              <w:tc>
                <w:tcPr>
                  <w:tcW w:w="1986" w:type="dxa"/>
                  <w:tcBorders>
                    <w:top w:val="single" w:color="auto" w:sz="12" w:space="0"/>
                  </w:tcBorders>
                  <w:noWrap w:val="0"/>
                  <w:vAlign w:val="center"/>
                </w:tcPr>
                <w:p w14:paraId="36D18EFC">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eastAsia="宋体" w:cs="Times New Roman"/>
                      <w:b w:val="0"/>
                      <w:bCs w:val="0"/>
                      <w:color w:val="000000"/>
                      <w:sz w:val="21"/>
                      <w:szCs w:val="21"/>
                      <w:highlight w:val="none"/>
                      <w:vertAlign w:val="baseline"/>
                      <w:lang w:eastAsia="zh-CN"/>
                    </w:rPr>
                    <w:t>改扩建</w:t>
                  </w:r>
                  <w:r>
                    <w:rPr>
                      <w:rFonts w:hint="eastAsia" w:ascii="Times New Roman" w:hAnsi="Times New Roman" w:eastAsia="宋体" w:cs="Times New Roman"/>
                      <w:b w:val="0"/>
                      <w:bCs w:val="0"/>
                      <w:color w:val="000000"/>
                      <w:sz w:val="21"/>
                      <w:szCs w:val="21"/>
                      <w:highlight w:val="none"/>
                      <w:vertAlign w:val="baseline"/>
                      <w:lang w:eastAsia="zh-CN"/>
                    </w:rPr>
                    <w:t>后</w:t>
                  </w:r>
                </w:p>
              </w:tc>
              <w:tc>
                <w:tcPr>
                  <w:tcW w:w="1987" w:type="dxa"/>
                  <w:tcBorders>
                    <w:top w:val="single" w:color="auto" w:sz="12" w:space="0"/>
                    <w:right w:val="nil"/>
                  </w:tcBorders>
                  <w:noWrap w:val="0"/>
                  <w:vAlign w:val="center"/>
                </w:tcPr>
                <w:p w14:paraId="354B437A">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变化情况</w:t>
                  </w:r>
                </w:p>
              </w:tc>
            </w:tr>
            <w:tr w14:paraId="1723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tcBorders>
                    <w:left w:val="nil"/>
                  </w:tcBorders>
                  <w:noWrap w:val="0"/>
                  <w:vAlign w:val="center"/>
                </w:tcPr>
                <w:p w14:paraId="01071110">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项目地址</w:t>
                  </w:r>
                </w:p>
              </w:tc>
              <w:tc>
                <w:tcPr>
                  <w:tcW w:w="2273" w:type="dxa"/>
                  <w:gridSpan w:val="2"/>
                  <w:noWrap w:val="0"/>
                  <w:vAlign w:val="center"/>
                </w:tcPr>
                <w:p w14:paraId="7E05AED4">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eastAsia="zh-CN"/>
                    </w:rPr>
                    <w:t>泉州市高新技术产业园区（江南区）二期</w:t>
                  </w:r>
                  <w:r>
                    <w:rPr>
                      <w:rFonts w:hint="eastAsia" w:ascii="Times New Roman" w:hAnsi="Times New Roman" w:eastAsia="宋体" w:cs="Times New Roman"/>
                      <w:b w:val="0"/>
                      <w:bCs w:val="0"/>
                      <w:color w:val="000000"/>
                      <w:sz w:val="21"/>
                      <w:szCs w:val="21"/>
                      <w:highlight w:val="none"/>
                      <w:vertAlign w:val="baseline"/>
                      <w:lang w:val="en-US" w:eastAsia="zh-CN"/>
                    </w:rPr>
                    <w:t>B6</w:t>
                  </w:r>
                </w:p>
              </w:tc>
              <w:tc>
                <w:tcPr>
                  <w:tcW w:w="1986" w:type="dxa"/>
                  <w:noWrap w:val="0"/>
                  <w:vAlign w:val="center"/>
                </w:tcPr>
                <w:p w14:paraId="268AA2B7">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default" w:ascii="Times New Roman" w:hAnsi="Times New Roman" w:eastAsia="宋体" w:cs="Times New Roman"/>
                      <w:color w:val="000000"/>
                      <w:kern w:val="0"/>
                      <w:sz w:val="24"/>
                      <w:szCs w:val="24"/>
                      <w:highlight w:val="none"/>
                      <w:lang w:val="en-US" w:eastAsia="zh-CN" w:bidi="ar-SA"/>
                    </w:rPr>
                    <w:t xml:space="preserve"> </w:t>
                  </w:r>
                  <w:r>
                    <w:rPr>
                      <w:rFonts w:hint="eastAsia" w:eastAsia="宋体" w:cs="Times New Roman"/>
                      <w:color w:val="000000"/>
                      <w:kern w:val="2"/>
                      <w:sz w:val="21"/>
                      <w:szCs w:val="21"/>
                      <w:highlight w:val="none"/>
                      <w:lang w:val="en-US" w:eastAsia="zh-CN" w:bidi="ar-SA"/>
                    </w:rPr>
                    <w:t>福建省泉州市鲤城区紫安路1号</w:t>
                  </w:r>
                </w:p>
              </w:tc>
              <w:tc>
                <w:tcPr>
                  <w:tcW w:w="1987" w:type="dxa"/>
                  <w:tcBorders>
                    <w:right w:val="nil"/>
                  </w:tcBorders>
                  <w:noWrap w:val="0"/>
                  <w:vAlign w:val="center"/>
                </w:tcPr>
                <w:p w14:paraId="01690E72">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不变</w:t>
                  </w:r>
                </w:p>
              </w:tc>
            </w:tr>
            <w:tr w14:paraId="500C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tcBorders>
                    <w:left w:val="nil"/>
                  </w:tcBorders>
                  <w:noWrap w:val="0"/>
                  <w:vAlign w:val="center"/>
                </w:tcPr>
                <w:p w14:paraId="3A7347EC">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厂房用地</w:t>
                  </w:r>
                </w:p>
              </w:tc>
              <w:tc>
                <w:tcPr>
                  <w:tcW w:w="2273" w:type="dxa"/>
                  <w:gridSpan w:val="2"/>
                  <w:noWrap w:val="0"/>
                  <w:vAlign w:val="center"/>
                </w:tcPr>
                <w:p w14:paraId="05017D82">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6000m</w:t>
                  </w:r>
                  <w:r>
                    <w:rPr>
                      <w:rFonts w:hint="eastAsia" w:ascii="Times New Roman" w:hAnsi="Times New Roman" w:eastAsia="宋体" w:cs="Times New Roman"/>
                      <w:b w:val="0"/>
                      <w:bCs w:val="0"/>
                      <w:color w:val="000000"/>
                      <w:sz w:val="21"/>
                      <w:szCs w:val="21"/>
                      <w:highlight w:val="none"/>
                      <w:vertAlign w:val="superscript"/>
                      <w:lang w:val="en-US" w:eastAsia="zh-CN"/>
                    </w:rPr>
                    <w:t>2</w:t>
                  </w:r>
                </w:p>
              </w:tc>
              <w:tc>
                <w:tcPr>
                  <w:tcW w:w="1986" w:type="dxa"/>
                  <w:noWrap w:val="0"/>
                  <w:vAlign w:val="center"/>
                </w:tcPr>
                <w:p w14:paraId="125303F3">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eastAsia" w:eastAsia="宋体" w:cs="Times New Roman"/>
                      <w:b w:val="0"/>
                      <w:bCs w:val="0"/>
                      <w:color w:val="000000"/>
                      <w:sz w:val="21"/>
                      <w:szCs w:val="21"/>
                      <w:highlight w:val="none"/>
                      <w:vertAlign w:val="baseline"/>
                      <w:lang w:val="en-US" w:eastAsia="zh-CN"/>
                    </w:rPr>
                    <w:t>43</w:t>
                  </w:r>
                  <w:r>
                    <w:rPr>
                      <w:rFonts w:hint="eastAsia" w:ascii="Times New Roman" w:hAnsi="Times New Roman" w:eastAsia="宋体" w:cs="Times New Roman"/>
                      <w:b w:val="0"/>
                      <w:bCs w:val="0"/>
                      <w:color w:val="000000"/>
                      <w:sz w:val="21"/>
                      <w:szCs w:val="21"/>
                      <w:highlight w:val="none"/>
                      <w:vertAlign w:val="baseline"/>
                      <w:lang w:val="en-US" w:eastAsia="zh-CN"/>
                    </w:rPr>
                    <w:t>00m</w:t>
                  </w:r>
                  <w:r>
                    <w:rPr>
                      <w:rFonts w:hint="eastAsia" w:ascii="Times New Roman" w:hAnsi="Times New Roman" w:eastAsia="宋体" w:cs="Times New Roman"/>
                      <w:b w:val="0"/>
                      <w:bCs w:val="0"/>
                      <w:color w:val="000000"/>
                      <w:sz w:val="21"/>
                      <w:szCs w:val="21"/>
                      <w:highlight w:val="none"/>
                      <w:vertAlign w:val="superscript"/>
                      <w:lang w:val="en-US" w:eastAsia="zh-CN"/>
                    </w:rPr>
                    <w:t>2</w:t>
                  </w:r>
                </w:p>
              </w:tc>
              <w:tc>
                <w:tcPr>
                  <w:tcW w:w="1987" w:type="dxa"/>
                  <w:tcBorders>
                    <w:right w:val="nil"/>
                  </w:tcBorders>
                  <w:noWrap w:val="0"/>
                  <w:vAlign w:val="center"/>
                </w:tcPr>
                <w:p w14:paraId="1833861A">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eastAsia="zh-CN"/>
                    </w:rPr>
                    <w:t>原租赁的厂房</w:t>
                  </w:r>
                  <w:r>
                    <w:rPr>
                      <w:rFonts w:hint="eastAsia" w:ascii="Times New Roman" w:hAnsi="Times New Roman" w:eastAsia="宋体" w:cs="Times New Roman"/>
                      <w:b w:val="0"/>
                      <w:bCs w:val="0"/>
                      <w:color w:val="000000"/>
                      <w:sz w:val="21"/>
                      <w:szCs w:val="21"/>
                      <w:highlight w:val="none"/>
                      <w:vertAlign w:val="baseline"/>
                      <w:lang w:val="en-US" w:eastAsia="zh-CN"/>
                    </w:rPr>
                    <w:t>3层不进行生产经营，</w:t>
                  </w:r>
                  <w:r>
                    <w:rPr>
                      <w:rFonts w:hint="eastAsia" w:eastAsia="宋体" w:cs="Times New Roman"/>
                      <w:b w:val="0"/>
                      <w:bCs w:val="0"/>
                      <w:color w:val="000000"/>
                      <w:sz w:val="21"/>
                      <w:szCs w:val="21"/>
                      <w:highlight w:val="none"/>
                      <w:vertAlign w:val="baseline"/>
                      <w:lang w:val="en-US" w:eastAsia="zh-CN"/>
                    </w:rPr>
                    <w:t>交还给出租方外租，6F仅部分作为生产车间</w:t>
                  </w:r>
                </w:p>
              </w:tc>
            </w:tr>
            <w:tr w14:paraId="4804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tcBorders>
                    <w:left w:val="nil"/>
                  </w:tcBorders>
                  <w:noWrap w:val="0"/>
                  <w:vAlign w:val="center"/>
                </w:tcPr>
                <w:p w14:paraId="57B03823">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产品</w:t>
                  </w:r>
                </w:p>
              </w:tc>
              <w:tc>
                <w:tcPr>
                  <w:tcW w:w="2273" w:type="dxa"/>
                  <w:gridSpan w:val="2"/>
                  <w:noWrap w:val="0"/>
                  <w:vAlign w:val="center"/>
                </w:tcPr>
                <w:p w14:paraId="102D17BC">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eastAsia="zh-CN"/>
                    </w:rPr>
                    <w:t>年产服装</w:t>
                  </w:r>
                  <w:r>
                    <w:rPr>
                      <w:rFonts w:hint="eastAsia" w:ascii="Times New Roman" w:hAnsi="Times New Roman" w:eastAsia="宋体" w:cs="Times New Roman"/>
                      <w:b w:val="0"/>
                      <w:bCs w:val="0"/>
                      <w:color w:val="000000"/>
                      <w:sz w:val="21"/>
                      <w:szCs w:val="21"/>
                      <w:highlight w:val="none"/>
                      <w:vertAlign w:val="baseline"/>
                      <w:lang w:val="en-US" w:eastAsia="zh-CN"/>
                    </w:rPr>
                    <w:t>20万件、印花片100万片、印花布50万米</w:t>
                  </w:r>
                </w:p>
              </w:tc>
              <w:tc>
                <w:tcPr>
                  <w:tcW w:w="1986" w:type="dxa"/>
                  <w:noWrap w:val="0"/>
                  <w:vAlign w:val="center"/>
                </w:tcPr>
                <w:p w14:paraId="15C4F034">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eastAsia" w:ascii="Times New Roman" w:hAnsi="Times New Roman" w:eastAsia="宋体" w:cs="Times New Roman"/>
                      <w:b w:val="0"/>
                      <w:bCs w:val="0"/>
                      <w:color w:val="000000"/>
                      <w:sz w:val="21"/>
                      <w:szCs w:val="21"/>
                      <w:highlight w:val="none"/>
                      <w:vertAlign w:val="baseline"/>
                      <w:lang w:eastAsia="zh-CN"/>
                    </w:rPr>
                    <w:t>年产服装</w:t>
                  </w:r>
                  <w:r>
                    <w:rPr>
                      <w:rFonts w:hint="eastAsia" w:ascii="Times New Roman" w:hAnsi="Times New Roman" w:eastAsia="宋体" w:cs="Times New Roman"/>
                      <w:b w:val="0"/>
                      <w:bCs w:val="0"/>
                      <w:color w:val="000000"/>
                      <w:sz w:val="21"/>
                      <w:szCs w:val="21"/>
                      <w:highlight w:val="none"/>
                      <w:vertAlign w:val="baseline"/>
                      <w:lang w:val="en-US" w:eastAsia="zh-CN"/>
                    </w:rPr>
                    <w:t>20万件、印花片130万片、印花布50万米</w:t>
                  </w:r>
                </w:p>
              </w:tc>
              <w:tc>
                <w:tcPr>
                  <w:tcW w:w="1987" w:type="dxa"/>
                  <w:tcBorders>
                    <w:right w:val="nil"/>
                  </w:tcBorders>
                  <w:noWrap w:val="0"/>
                  <w:vAlign w:val="center"/>
                </w:tcPr>
                <w:p w14:paraId="46A8FBD5">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eastAsia="宋体" w:cs="Times New Roman"/>
                      <w:b w:val="0"/>
                      <w:bCs w:val="0"/>
                      <w:color w:val="000000"/>
                      <w:sz w:val="21"/>
                      <w:szCs w:val="21"/>
                      <w:highlight w:val="none"/>
                      <w:vertAlign w:val="baseline"/>
                      <w:lang w:eastAsia="zh-CN"/>
                    </w:rPr>
                    <w:t>服装包装改为服装丝印，服装产量不变；</w:t>
                  </w:r>
                  <w:r>
                    <w:rPr>
                      <w:rFonts w:hint="eastAsia" w:ascii="Times New Roman" w:hAnsi="Times New Roman" w:eastAsia="宋体" w:cs="Times New Roman"/>
                      <w:b w:val="0"/>
                      <w:bCs w:val="0"/>
                      <w:color w:val="000000"/>
                      <w:sz w:val="21"/>
                      <w:szCs w:val="21"/>
                      <w:highlight w:val="none"/>
                      <w:vertAlign w:val="baseline"/>
                      <w:lang w:eastAsia="zh-CN"/>
                    </w:rPr>
                    <w:t>新增椭圆裁片自动印花机</w:t>
                  </w:r>
                  <w:r>
                    <w:rPr>
                      <w:rFonts w:hint="eastAsia" w:ascii="Times New Roman" w:hAnsi="Times New Roman" w:eastAsia="宋体" w:cs="Times New Roman"/>
                      <w:b w:val="0"/>
                      <w:bCs w:val="0"/>
                      <w:color w:val="000000"/>
                      <w:sz w:val="21"/>
                      <w:szCs w:val="21"/>
                      <w:highlight w:val="none"/>
                      <w:vertAlign w:val="baseline"/>
                      <w:lang w:val="en-US" w:eastAsia="zh-CN"/>
                    </w:rPr>
                    <w:t>4台</w:t>
                  </w:r>
                  <w:r>
                    <w:rPr>
                      <w:rFonts w:hint="eastAsia" w:eastAsia="宋体" w:cs="Times New Roman"/>
                      <w:b w:val="0"/>
                      <w:bCs w:val="0"/>
                      <w:color w:val="000000"/>
                      <w:sz w:val="21"/>
                      <w:szCs w:val="21"/>
                      <w:highlight w:val="none"/>
                      <w:vertAlign w:val="baseline"/>
                      <w:lang w:val="en-US" w:eastAsia="zh-CN"/>
                    </w:rPr>
                    <w:t>用于印花片生产</w:t>
                  </w:r>
                  <w:r>
                    <w:rPr>
                      <w:rFonts w:hint="eastAsia" w:ascii="Times New Roman" w:hAnsi="Times New Roman" w:eastAsia="宋体" w:cs="Times New Roman"/>
                      <w:b w:val="0"/>
                      <w:bCs w:val="0"/>
                      <w:color w:val="000000"/>
                      <w:sz w:val="21"/>
                      <w:szCs w:val="21"/>
                      <w:highlight w:val="none"/>
                      <w:vertAlign w:val="baseline"/>
                      <w:lang w:val="en-US" w:eastAsia="zh-CN"/>
                    </w:rPr>
                    <w:t>，印花片产量</w:t>
                  </w:r>
                  <w:r>
                    <w:rPr>
                      <w:rFonts w:hint="eastAsia" w:eastAsia="宋体" w:cs="Times New Roman"/>
                      <w:b w:val="0"/>
                      <w:bCs w:val="0"/>
                      <w:color w:val="000000"/>
                      <w:sz w:val="21"/>
                      <w:szCs w:val="21"/>
                      <w:highlight w:val="none"/>
                      <w:vertAlign w:val="baseline"/>
                      <w:lang w:val="en-US" w:eastAsia="zh-CN"/>
                    </w:rPr>
                    <w:t>年</w:t>
                  </w:r>
                  <w:r>
                    <w:rPr>
                      <w:rFonts w:hint="eastAsia" w:ascii="Times New Roman" w:hAnsi="Times New Roman" w:eastAsia="宋体" w:cs="Times New Roman"/>
                      <w:b w:val="0"/>
                      <w:bCs w:val="0"/>
                      <w:color w:val="000000"/>
                      <w:sz w:val="21"/>
                      <w:szCs w:val="21"/>
                      <w:highlight w:val="none"/>
                      <w:vertAlign w:val="baseline"/>
                      <w:lang w:val="en-US" w:eastAsia="zh-CN"/>
                    </w:rPr>
                    <w:t>增加30万片</w:t>
                  </w:r>
                </w:p>
              </w:tc>
            </w:tr>
            <w:tr w14:paraId="7E39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tcBorders>
                    <w:left w:val="nil"/>
                  </w:tcBorders>
                  <w:noWrap w:val="0"/>
                  <w:vAlign w:val="center"/>
                </w:tcPr>
                <w:p w14:paraId="41D7CD33">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主要设备</w:t>
                  </w:r>
                </w:p>
              </w:tc>
              <w:tc>
                <w:tcPr>
                  <w:tcW w:w="6246" w:type="dxa"/>
                  <w:gridSpan w:val="4"/>
                  <w:tcBorders>
                    <w:right w:val="nil"/>
                  </w:tcBorders>
                  <w:noWrap w:val="0"/>
                  <w:vAlign w:val="center"/>
                </w:tcPr>
                <w:p w14:paraId="5A30AD4A">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rPr>
                  </w:pPr>
                  <w:r>
                    <w:rPr>
                      <w:rFonts w:hint="eastAsia" w:ascii="Times New Roman" w:hAnsi="Times New Roman" w:eastAsia="宋体" w:cs="Times New Roman"/>
                      <w:b w:val="0"/>
                      <w:bCs w:val="0"/>
                      <w:color w:val="000000"/>
                      <w:sz w:val="21"/>
                      <w:szCs w:val="21"/>
                      <w:highlight w:val="none"/>
                      <w:vertAlign w:val="baseline"/>
                      <w:lang w:eastAsia="zh-CN"/>
                    </w:rPr>
                    <w:t>详见表</w:t>
                  </w:r>
                  <w:r>
                    <w:rPr>
                      <w:rFonts w:hint="eastAsia" w:ascii="Times New Roman" w:hAnsi="Times New Roman" w:eastAsia="宋体" w:cs="Times New Roman"/>
                      <w:b w:val="0"/>
                      <w:bCs w:val="0"/>
                      <w:color w:val="000000"/>
                      <w:sz w:val="21"/>
                      <w:szCs w:val="21"/>
                      <w:highlight w:val="none"/>
                      <w:vertAlign w:val="baseline"/>
                      <w:lang w:val="en-US" w:eastAsia="zh-CN"/>
                    </w:rPr>
                    <w:t>2-</w:t>
                  </w:r>
                  <w:r>
                    <w:rPr>
                      <w:rFonts w:hint="eastAsia" w:eastAsia="宋体" w:cs="Times New Roman"/>
                      <w:b w:val="0"/>
                      <w:bCs w:val="0"/>
                      <w:color w:val="000000"/>
                      <w:sz w:val="21"/>
                      <w:szCs w:val="21"/>
                      <w:highlight w:val="none"/>
                      <w:vertAlign w:val="baseline"/>
                      <w:lang w:val="en-US" w:eastAsia="zh-CN"/>
                    </w:rPr>
                    <w:t>4</w:t>
                  </w:r>
                </w:p>
              </w:tc>
            </w:tr>
            <w:tr w14:paraId="1934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tcBorders>
                    <w:left w:val="nil"/>
                  </w:tcBorders>
                  <w:noWrap w:val="0"/>
                  <w:vAlign w:val="center"/>
                </w:tcPr>
                <w:p w14:paraId="76079C7D">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主要原辅材料</w:t>
                  </w:r>
                </w:p>
              </w:tc>
              <w:tc>
                <w:tcPr>
                  <w:tcW w:w="6246" w:type="dxa"/>
                  <w:gridSpan w:val="4"/>
                  <w:tcBorders>
                    <w:right w:val="nil"/>
                  </w:tcBorders>
                  <w:noWrap w:val="0"/>
                  <w:vAlign w:val="center"/>
                </w:tcPr>
                <w:p w14:paraId="7C88B05F">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eastAsia="zh-CN"/>
                    </w:rPr>
                    <w:t>详见表</w:t>
                  </w:r>
                  <w:r>
                    <w:rPr>
                      <w:rFonts w:hint="eastAsia" w:ascii="Times New Roman" w:hAnsi="Times New Roman" w:eastAsia="宋体" w:cs="Times New Roman"/>
                      <w:b w:val="0"/>
                      <w:bCs w:val="0"/>
                      <w:color w:val="000000"/>
                      <w:sz w:val="21"/>
                      <w:szCs w:val="21"/>
                      <w:highlight w:val="none"/>
                      <w:vertAlign w:val="baseline"/>
                      <w:lang w:val="en-US" w:eastAsia="zh-CN"/>
                    </w:rPr>
                    <w:t>2-</w:t>
                  </w:r>
                  <w:r>
                    <w:rPr>
                      <w:rFonts w:hint="eastAsia" w:eastAsia="宋体" w:cs="Times New Roman"/>
                      <w:b w:val="0"/>
                      <w:bCs w:val="0"/>
                      <w:color w:val="000000"/>
                      <w:sz w:val="21"/>
                      <w:szCs w:val="21"/>
                      <w:highlight w:val="none"/>
                      <w:vertAlign w:val="baseline"/>
                      <w:lang w:val="en-US" w:eastAsia="zh-CN"/>
                    </w:rPr>
                    <w:t>5</w:t>
                  </w:r>
                </w:p>
              </w:tc>
            </w:tr>
            <w:tr w14:paraId="1820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tcBorders>
                    <w:left w:val="nil"/>
                  </w:tcBorders>
                  <w:noWrap w:val="0"/>
                  <w:vAlign w:val="center"/>
                </w:tcPr>
                <w:p w14:paraId="3E7C1480">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职工人数</w:t>
                  </w:r>
                </w:p>
              </w:tc>
              <w:tc>
                <w:tcPr>
                  <w:tcW w:w="2273" w:type="dxa"/>
                  <w:gridSpan w:val="2"/>
                  <w:noWrap w:val="0"/>
                  <w:vAlign w:val="center"/>
                </w:tcPr>
                <w:p w14:paraId="797DD751">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60</w:t>
                  </w:r>
                </w:p>
              </w:tc>
              <w:tc>
                <w:tcPr>
                  <w:tcW w:w="1986" w:type="dxa"/>
                  <w:noWrap w:val="0"/>
                  <w:vAlign w:val="center"/>
                </w:tcPr>
                <w:p w14:paraId="25C3D69A">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eastAsia="宋体" w:cs="Times New Roman"/>
                      <w:b w:val="0"/>
                      <w:bCs w:val="0"/>
                      <w:color w:val="000000"/>
                      <w:sz w:val="21"/>
                      <w:szCs w:val="21"/>
                      <w:highlight w:val="none"/>
                      <w:vertAlign w:val="baseline"/>
                      <w:lang w:val="en-US" w:eastAsia="zh-CN"/>
                    </w:rPr>
                    <w:t>6</w:t>
                  </w:r>
                  <w:r>
                    <w:rPr>
                      <w:rFonts w:hint="eastAsia" w:ascii="Times New Roman" w:hAnsi="Times New Roman" w:eastAsia="宋体" w:cs="Times New Roman"/>
                      <w:b w:val="0"/>
                      <w:bCs w:val="0"/>
                      <w:color w:val="000000"/>
                      <w:sz w:val="21"/>
                      <w:szCs w:val="21"/>
                      <w:highlight w:val="none"/>
                      <w:vertAlign w:val="baseline"/>
                      <w:lang w:val="en-US" w:eastAsia="zh-CN"/>
                    </w:rPr>
                    <w:t>0</w:t>
                  </w:r>
                </w:p>
              </w:tc>
              <w:tc>
                <w:tcPr>
                  <w:tcW w:w="1987" w:type="dxa"/>
                  <w:tcBorders>
                    <w:right w:val="nil"/>
                  </w:tcBorders>
                  <w:noWrap w:val="0"/>
                  <w:vAlign w:val="center"/>
                </w:tcPr>
                <w:p w14:paraId="123A17A8">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项目新增椭圆裁片自动印花机</w:t>
                  </w:r>
                  <w:r>
                    <w:rPr>
                      <w:rFonts w:hint="eastAsia" w:ascii="Times New Roman" w:hAnsi="Times New Roman" w:eastAsia="宋体" w:cs="Times New Roman"/>
                      <w:b w:val="0"/>
                      <w:bCs w:val="0"/>
                      <w:color w:val="000000"/>
                      <w:sz w:val="21"/>
                      <w:szCs w:val="21"/>
                      <w:highlight w:val="none"/>
                      <w:vertAlign w:val="baseline"/>
                      <w:lang w:val="en-US" w:eastAsia="zh-CN"/>
                    </w:rPr>
                    <w:t>4台</w:t>
                  </w:r>
                  <w:r>
                    <w:rPr>
                      <w:rFonts w:hint="eastAsia" w:ascii="Times New Roman" w:hAnsi="Times New Roman" w:eastAsia="宋体" w:cs="Times New Roman"/>
                      <w:b w:val="0"/>
                      <w:bCs w:val="0"/>
                      <w:color w:val="000000"/>
                      <w:sz w:val="21"/>
                      <w:szCs w:val="21"/>
                      <w:highlight w:val="none"/>
                      <w:vertAlign w:val="baseline"/>
                      <w:lang w:eastAsia="zh-CN"/>
                    </w:rPr>
                    <w:t>，采用自动印花，</w:t>
                  </w:r>
                  <w:r>
                    <w:rPr>
                      <w:rFonts w:hint="eastAsia" w:eastAsia="宋体" w:cs="Times New Roman"/>
                      <w:b w:val="0"/>
                      <w:bCs w:val="0"/>
                      <w:color w:val="000000"/>
                      <w:sz w:val="21"/>
                      <w:szCs w:val="21"/>
                      <w:highlight w:val="none"/>
                      <w:vertAlign w:val="baseline"/>
                      <w:lang w:eastAsia="zh-CN"/>
                    </w:rPr>
                    <w:t>职工人数不变</w:t>
                  </w:r>
                </w:p>
              </w:tc>
            </w:tr>
            <w:tr w14:paraId="74FD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tcBorders>
                    <w:left w:val="nil"/>
                  </w:tcBorders>
                  <w:noWrap w:val="0"/>
                  <w:vAlign w:val="center"/>
                </w:tcPr>
                <w:p w14:paraId="3548302F">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工作制度</w:t>
                  </w:r>
                </w:p>
              </w:tc>
              <w:tc>
                <w:tcPr>
                  <w:tcW w:w="2273" w:type="dxa"/>
                  <w:gridSpan w:val="2"/>
                  <w:noWrap w:val="0"/>
                  <w:vAlign w:val="center"/>
                </w:tcPr>
                <w:p w14:paraId="0486EC59">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eastAsia="zh-CN"/>
                    </w:rPr>
                    <w:t>年工作</w:t>
                  </w:r>
                  <w:r>
                    <w:rPr>
                      <w:rFonts w:hint="eastAsia" w:ascii="Times New Roman" w:hAnsi="Times New Roman" w:eastAsia="宋体" w:cs="Times New Roman"/>
                      <w:b w:val="0"/>
                      <w:bCs w:val="0"/>
                      <w:color w:val="000000"/>
                      <w:sz w:val="21"/>
                      <w:szCs w:val="21"/>
                      <w:highlight w:val="none"/>
                      <w:vertAlign w:val="baseline"/>
                      <w:lang w:val="en-US" w:eastAsia="zh-CN"/>
                    </w:rPr>
                    <w:t>300天，日工作8小时</w:t>
                  </w:r>
                </w:p>
              </w:tc>
              <w:tc>
                <w:tcPr>
                  <w:tcW w:w="1986" w:type="dxa"/>
                  <w:noWrap w:val="0"/>
                  <w:vAlign w:val="center"/>
                </w:tcPr>
                <w:p w14:paraId="3C2C3F28">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eastAsia="zh-CN"/>
                    </w:rPr>
                    <w:t>年工作</w:t>
                  </w:r>
                  <w:r>
                    <w:rPr>
                      <w:rFonts w:hint="eastAsia" w:ascii="Times New Roman" w:hAnsi="Times New Roman" w:eastAsia="宋体" w:cs="Times New Roman"/>
                      <w:b w:val="0"/>
                      <w:bCs w:val="0"/>
                      <w:color w:val="000000"/>
                      <w:sz w:val="21"/>
                      <w:szCs w:val="21"/>
                      <w:highlight w:val="none"/>
                      <w:vertAlign w:val="baseline"/>
                      <w:lang w:val="en-US" w:eastAsia="zh-CN"/>
                    </w:rPr>
                    <w:t>300天，日工作12小时</w:t>
                  </w:r>
                </w:p>
              </w:tc>
              <w:tc>
                <w:tcPr>
                  <w:tcW w:w="1987" w:type="dxa"/>
                  <w:tcBorders>
                    <w:right w:val="nil"/>
                  </w:tcBorders>
                  <w:noWrap w:val="0"/>
                  <w:vAlign w:val="center"/>
                </w:tcPr>
                <w:p w14:paraId="288D1EBF">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工作时间增加</w:t>
                  </w:r>
                </w:p>
              </w:tc>
            </w:tr>
            <w:tr w14:paraId="6CA0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vMerge w:val="restart"/>
                  <w:tcBorders>
                    <w:left w:val="nil"/>
                  </w:tcBorders>
                  <w:noWrap w:val="0"/>
                  <w:vAlign w:val="center"/>
                </w:tcPr>
                <w:p w14:paraId="5F4EA8A2">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环保设施</w:t>
                  </w:r>
                </w:p>
              </w:tc>
              <w:tc>
                <w:tcPr>
                  <w:tcW w:w="671" w:type="dxa"/>
                  <w:vMerge w:val="restart"/>
                  <w:noWrap w:val="0"/>
                  <w:vAlign w:val="center"/>
                </w:tcPr>
                <w:p w14:paraId="11686715">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eastAsia="宋体" w:cs="Times New Roman"/>
                      <w:b w:val="0"/>
                      <w:bCs w:val="0"/>
                      <w:color w:val="000000"/>
                      <w:sz w:val="21"/>
                      <w:szCs w:val="21"/>
                      <w:highlight w:val="none"/>
                      <w:vertAlign w:val="baseline"/>
                      <w:lang w:eastAsia="zh-CN"/>
                    </w:rPr>
                    <w:t>废气</w:t>
                  </w:r>
                </w:p>
              </w:tc>
              <w:tc>
                <w:tcPr>
                  <w:tcW w:w="1602" w:type="dxa"/>
                  <w:noWrap w:val="0"/>
                  <w:vAlign w:val="center"/>
                </w:tcPr>
                <w:p w14:paraId="322C15DF">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制版、调浆、丝印过程中产生有机废气，以无组织形式排放</w:t>
                  </w:r>
                </w:p>
              </w:tc>
              <w:tc>
                <w:tcPr>
                  <w:tcW w:w="1986" w:type="dxa"/>
                  <w:noWrap w:val="0"/>
                  <w:vAlign w:val="center"/>
                </w:tcPr>
                <w:p w14:paraId="1E83564B">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eastAsia="zh-CN"/>
                    </w:rPr>
                    <w:t>制版、调浆、丝印废气由集气罩收集后经“活性炭吸附”装置处理后通过</w:t>
                  </w:r>
                  <w:r>
                    <w:rPr>
                      <w:rFonts w:hint="eastAsia" w:ascii="Times New Roman" w:hAnsi="Times New Roman" w:eastAsia="宋体" w:cs="Times New Roman"/>
                      <w:b w:val="0"/>
                      <w:bCs w:val="0"/>
                      <w:color w:val="000000"/>
                      <w:sz w:val="21"/>
                      <w:szCs w:val="21"/>
                      <w:highlight w:val="none"/>
                      <w:vertAlign w:val="baseline"/>
                      <w:lang w:val="en-US" w:eastAsia="zh-CN"/>
                    </w:rPr>
                    <w:t>1根25米高的排气筒排放</w:t>
                  </w:r>
                </w:p>
              </w:tc>
              <w:tc>
                <w:tcPr>
                  <w:tcW w:w="1987" w:type="dxa"/>
                  <w:tcBorders>
                    <w:right w:val="nil"/>
                  </w:tcBorders>
                  <w:noWrap w:val="0"/>
                  <w:vAlign w:val="center"/>
                </w:tcPr>
                <w:p w14:paraId="50004644">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新增制版、调浆、丝印废气由</w:t>
                  </w:r>
                  <w:r>
                    <w:rPr>
                      <w:rFonts w:hint="eastAsia" w:eastAsia="宋体" w:cs="Times New Roman"/>
                      <w:b w:val="0"/>
                      <w:bCs w:val="0"/>
                      <w:color w:val="000000"/>
                      <w:sz w:val="21"/>
                      <w:szCs w:val="21"/>
                      <w:highlight w:val="none"/>
                      <w:vertAlign w:val="baseline"/>
                      <w:lang w:eastAsia="zh-CN"/>
                    </w:rPr>
                    <w:t>无组织排放改为有组织排放</w:t>
                  </w:r>
                </w:p>
              </w:tc>
            </w:tr>
            <w:tr w14:paraId="1D7C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vMerge w:val="continue"/>
                  <w:tcBorders>
                    <w:left w:val="nil"/>
                  </w:tcBorders>
                  <w:noWrap w:val="0"/>
                  <w:vAlign w:val="center"/>
                </w:tcPr>
                <w:p w14:paraId="4A7C9218">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p>
              </w:tc>
              <w:tc>
                <w:tcPr>
                  <w:tcW w:w="671" w:type="dxa"/>
                  <w:vMerge w:val="continue"/>
                  <w:noWrap w:val="0"/>
                  <w:vAlign w:val="center"/>
                </w:tcPr>
                <w:p w14:paraId="1FD14D99">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eastAsia="宋体" w:cs="Times New Roman"/>
                      <w:b w:val="0"/>
                      <w:bCs w:val="0"/>
                      <w:color w:val="000000"/>
                      <w:sz w:val="21"/>
                      <w:szCs w:val="21"/>
                      <w:highlight w:val="none"/>
                      <w:vertAlign w:val="baseline"/>
                      <w:lang w:eastAsia="zh-CN"/>
                    </w:rPr>
                  </w:pPr>
                </w:p>
              </w:tc>
              <w:tc>
                <w:tcPr>
                  <w:tcW w:w="1602" w:type="dxa"/>
                  <w:noWrap w:val="0"/>
                  <w:vAlign w:val="center"/>
                </w:tcPr>
                <w:p w14:paraId="11445FFA">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w:t>
                  </w:r>
                </w:p>
              </w:tc>
              <w:tc>
                <w:tcPr>
                  <w:tcW w:w="1986" w:type="dxa"/>
                  <w:noWrap w:val="0"/>
                  <w:vAlign w:val="center"/>
                </w:tcPr>
                <w:p w14:paraId="16119D99">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eastAsia="宋体" w:cs="Times New Roman"/>
                      <w:b w:val="0"/>
                      <w:bCs w:val="0"/>
                      <w:color w:val="000000"/>
                      <w:sz w:val="21"/>
                      <w:szCs w:val="21"/>
                      <w:highlight w:val="none"/>
                      <w:vertAlign w:val="baseline"/>
                      <w:lang w:eastAsia="zh-CN"/>
                    </w:rPr>
                    <w:t>液化气废气</w:t>
                  </w:r>
                  <w:r>
                    <w:rPr>
                      <w:rFonts w:hint="eastAsia" w:ascii="Times New Roman" w:hAnsi="Times New Roman" w:eastAsia="宋体" w:cs="Times New Roman"/>
                      <w:b w:val="0"/>
                      <w:bCs w:val="0"/>
                      <w:color w:val="000000"/>
                      <w:sz w:val="21"/>
                      <w:szCs w:val="21"/>
                      <w:highlight w:val="none"/>
                      <w:vertAlign w:val="baseline"/>
                      <w:lang w:eastAsia="zh-CN"/>
                    </w:rPr>
                    <w:t>由集气罩收集后通过</w:t>
                  </w:r>
                  <w:r>
                    <w:rPr>
                      <w:rFonts w:hint="eastAsia" w:ascii="Times New Roman" w:hAnsi="Times New Roman" w:eastAsia="宋体" w:cs="Times New Roman"/>
                      <w:b w:val="0"/>
                      <w:bCs w:val="0"/>
                      <w:color w:val="000000"/>
                      <w:sz w:val="21"/>
                      <w:szCs w:val="21"/>
                      <w:highlight w:val="none"/>
                      <w:vertAlign w:val="baseline"/>
                      <w:lang w:val="en-US" w:eastAsia="zh-CN"/>
                    </w:rPr>
                    <w:t>1根2</w:t>
                  </w:r>
                  <w:r>
                    <w:rPr>
                      <w:rFonts w:hint="eastAsia" w:eastAsia="宋体" w:cs="Times New Roman"/>
                      <w:b w:val="0"/>
                      <w:bCs w:val="0"/>
                      <w:color w:val="000000"/>
                      <w:sz w:val="21"/>
                      <w:szCs w:val="21"/>
                      <w:highlight w:val="none"/>
                      <w:vertAlign w:val="baseline"/>
                      <w:lang w:val="en-US" w:eastAsia="zh-CN"/>
                    </w:rPr>
                    <w:t>0</w:t>
                  </w:r>
                  <w:r>
                    <w:rPr>
                      <w:rFonts w:hint="eastAsia" w:ascii="Times New Roman" w:hAnsi="Times New Roman" w:eastAsia="宋体" w:cs="Times New Roman"/>
                      <w:b w:val="0"/>
                      <w:bCs w:val="0"/>
                      <w:color w:val="000000"/>
                      <w:sz w:val="21"/>
                      <w:szCs w:val="21"/>
                      <w:highlight w:val="none"/>
                      <w:vertAlign w:val="baseline"/>
                      <w:lang w:val="en-US" w:eastAsia="zh-CN"/>
                    </w:rPr>
                    <w:t>米高的排气筒排放</w:t>
                  </w:r>
                </w:p>
              </w:tc>
              <w:tc>
                <w:tcPr>
                  <w:tcW w:w="1987" w:type="dxa"/>
                  <w:tcBorders>
                    <w:right w:val="nil"/>
                  </w:tcBorders>
                  <w:noWrap w:val="0"/>
                  <w:vAlign w:val="center"/>
                </w:tcPr>
                <w:p w14:paraId="2EEEADA7">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eastAsia="宋体" w:cs="Times New Roman"/>
                      <w:b w:val="0"/>
                      <w:bCs w:val="0"/>
                      <w:color w:val="000000"/>
                      <w:sz w:val="21"/>
                      <w:szCs w:val="21"/>
                      <w:highlight w:val="none"/>
                      <w:vertAlign w:val="baseline"/>
                      <w:lang w:eastAsia="zh-CN"/>
                    </w:rPr>
                    <w:t>新增</w:t>
                  </w:r>
                </w:p>
              </w:tc>
            </w:tr>
            <w:tr w14:paraId="1F42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vMerge w:val="continue"/>
                  <w:tcBorders>
                    <w:left w:val="nil"/>
                  </w:tcBorders>
                  <w:noWrap w:val="0"/>
                  <w:vAlign w:val="center"/>
                </w:tcPr>
                <w:p w14:paraId="4415F177">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p>
              </w:tc>
              <w:tc>
                <w:tcPr>
                  <w:tcW w:w="671" w:type="dxa"/>
                  <w:vMerge w:val="restart"/>
                  <w:noWrap w:val="0"/>
                  <w:vAlign w:val="center"/>
                </w:tcPr>
                <w:p w14:paraId="47622A93">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eastAsia="宋体" w:cs="Times New Roman"/>
                      <w:b w:val="0"/>
                      <w:bCs w:val="0"/>
                      <w:color w:val="000000"/>
                      <w:sz w:val="21"/>
                      <w:szCs w:val="21"/>
                      <w:highlight w:val="none"/>
                      <w:vertAlign w:val="baseline"/>
                      <w:lang w:eastAsia="zh-CN"/>
                    </w:rPr>
                    <w:t>废水</w:t>
                  </w:r>
                </w:p>
              </w:tc>
              <w:tc>
                <w:tcPr>
                  <w:tcW w:w="1602" w:type="dxa"/>
                  <w:noWrap w:val="0"/>
                  <w:vAlign w:val="center"/>
                </w:tcPr>
                <w:p w14:paraId="669E95B0">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生活污水：化粪池</w:t>
                  </w:r>
                </w:p>
              </w:tc>
              <w:tc>
                <w:tcPr>
                  <w:tcW w:w="1986" w:type="dxa"/>
                  <w:noWrap w:val="0"/>
                  <w:vAlign w:val="center"/>
                </w:tcPr>
                <w:p w14:paraId="01D36C42">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生活污水：化粪池</w:t>
                  </w:r>
                </w:p>
              </w:tc>
              <w:tc>
                <w:tcPr>
                  <w:tcW w:w="1987" w:type="dxa"/>
                  <w:tcBorders>
                    <w:right w:val="nil"/>
                  </w:tcBorders>
                  <w:noWrap w:val="0"/>
                  <w:vAlign w:val="center"/>
                </w:tcPr>
                <w:p w14:paraId="66DA8CBB">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不变</w:t>
                  </w:r>
                </w:p>
              </w:tc>
            </w:tr>
            <w:tr w14:paraId="3102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vMerge w:val="continue"/>
                  <w:tcBorders>
                    <w:left w:val="nil"/>
                  </w:tcBorders>
                  <w:noWrap w:val="0"/>
                  <w:vAlign w:val="center"/>
                </w:tcPr>
                <w:p w14:paraId="01CAF056">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p>
              </w:tc>
              <w:tc>
                <w:tcPr>
                  <w:tcW w:w="671" w:type="dxa"/>
                  <w:vMerge w:val="continue"/>
                  <w:noWrap w:val="0"/>
                  <w:vAlign w:val="center"/>
                </w:tcPr>
                <w:p w14:paraId="5DA3D386">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p>
              </w:tc>
              <w:tc>
                <w:tcPr>
                  <w:tcW w:w="1602" w:type="dxa"/>
                  <w:noWrap w:val="0"/>
                  <w:vAlign w:val="center"/>
                </w:tcPr>
                <w:p w14:paraId="545A1B23">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生产废水：经“去色混凝沉淀处理工艺”废水处理设施处理</w:t>
                  </w:r>
                </w:p>
              </w:tc>
              <w:tc>
                <w:tcPr>
                  <w:tcW w:w="1986" w:type="dxa"/>
                  <w:noWrap w:val="0"/>
                  <w:vAlign w:val="center"/>
                </w:tcPr>
                <w:p w14:paraId="6239A1DF">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eastAsia="宋体" w:cs="Times New Roman"/>
                      <w:b w:val="0"/>
                      <w:bCs w:val="0"/>
                      <w:color w:val="000000"/>
                      <w:sz w:val="21"/>
                      <w:szCs w:val="21"/>
                      <w:highlight w:val="none"/>
                      <w:vertAlign w:val="baseline"/>
                      <w:lang w:eastAsia="zh-CN"/>
                    </w:rPr>
                    <w:t>生产</w:t>
                  </w:r>
                  <w:r>
                    <w:rPr>
                      <w:rFonts w:hint="eastAsia" w:ascii="Times New Roman" w:hAnsi="Times New Roman" w:eastAsia="宋体" w:cs="Times New Roman"/>
                      <w:b w:val="0"/>
                      <w:bCs w:val="0"/>
                      <w:color w:val="000000"/>
                      <w:sz w:val="21"/>
                      <w:szCs w:val="21"/>
                      <w:highlight w:val="none"/>
                      <w:vertAlign w:val="baseline"/>
                      <w:lang w:eastAsia="zh-CN"/>
                    </w:rPr>
                    <w:t>废水：经</w:t>
                  </w:r>
                  <w:r>
                    <w:rPr>
                      <w:rFonts w:hint="eastAsia" w:eastAsia="宋体" w:cs="Times New Roman"/>
                      <w:b w:val="0"/>
                      <w:bCs w:val="0"/>
                      <w:color w:val="000000"/>
                      <w:sz w:val="21"/>
                      <w:szCs w:val="21"/>
                      <w:highlight w:val="none"/>
                      <w:vertAlign w:val="baseline"/>
                      <w:lang w:eastAsia="zh-CN"/>
                    </w:rPr>
                    <w:t>“混凝反应</w:t>
                  </w:r>
                  <w:r>
                    <w:rPr>
                      <w:rFonts w:hint="eastAsia" w:eastAsia="宋体" w:cs="Times New Roman"/>
                      <w:b w:val="0"/>
                      <w:bCs w:val="0"/>
                      <w:color w:val="000000"/>
                      <w:sz w:val="21"/>
                      <w:szCs w:val="21"/>
                      <w:highlight w:val="none"/>
                      <w:vertAlign w:val="baseline"/>
                      <w:lang w:val="en-US" w:eastAsia="zh-CN"/>
                    </w:rPr>
                    <w:t>+生物接触氧化处理工艺”</w:t>
                  </w:r>
                  <w:r>
                    <w:rPr>
                      <w:rFonts w:hint="eastAsia" w:ascii="Times New Roman" w:hAnsi="Times New Roman" w:eastAsia="宋体" w:cs="Times New Roman"/>
                      <w:b w:val="0"/>
                      <w:bCs w:val="0"/>
                      <w:color w:val="000000"/>
                      <w:sz w:val="21"/>
                      <w:szCs w:val="21"/>
                      <w:highlight w:val="none"/>
                      <w:vertAlign w:val="baseline"/>
                      <w:lang w:eastAsia="zh-CN"/>
                    </w:rPr>
                    <w:t>废水处理设施进行处理</w:t>
                  </w:r>
                </w:p>
              </w:tc>
              <w:tc>
                <w:tcPr>
                  <w:tcW w:w="1987" w:type="dxa"/>
                  <w:tcBorders>
                    <w:right w:val="nil"/>
                  </w:tcBorders>
                  <w:noWrap w:val="0"/>
                  <w:vAlign w:val="center"/>
                </w:tcPr>
                <w:p w14:paraId="79669A2F">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eastAsia="宋体" w:cs="Times New Roman"/>
                      <w:b w:val="0"/>
                      <w:bCs w:val="0"/>
                      <w:color w:val="000000"/>
                      <w:sz w:val="21"/>
                      <w:szCs w:val="21"/>
                      <w:highlight w:val="none"/>
                      <w:vertAlign w:val="baseline"/>
                      <w:lang w:val="en-US" w:eastAsia="zh-CN"/>
                    </w:rPr>
                    <w:t>现有废水处理设施老化，</w:t>
                  </w:r>
                  <w:r>
                    <w:rPr>
                      <w:rFonts w:hint="eastAsia" w:ascii="Times New Roman" w:hAnsi="Times New Roman" w:eastAsia="宋体" w:cs="Times New Roman"/>
                      <w:b w:val="0"/>
                      <w:bCs w:val="0"/>
                      <w:color w:val="000000"/>
                      <w:sz w:val="21"/>
                      <w:szCs w:val="21"/>
                      <w:highlight w:val="none"/>
                      <w:vertAlign w:val="baseline"/>
                      <w:lang w:eastAsia="zh-CN"/>
                    </w:rPr>
                    <w:t>采用新建废水处理设施进行处理</w:t>
                  </w:r>
                </w:p>
              </w:tc>
            </w:tr>
            <w:tr w14:paraId="596F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vMerge w:val="continue"/>
                  <w:tcBorders>
                    <w:left w:val="nil"/>
                  </w:tcBorders>
                  <w:noWrap w:val="0"/>
                  <w:vAlign w:val="center"/>
                </w:tcPr>
                <w:p w14:paraId="2E98D0E1">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p>
              </w:tc>
              <w:tc>
                <w:tcPr>
                  <w:tcW w:w="671" w:type="dxa"/>
                  <w:noWrap w:val="0"/>
                  <w:vAlign w:val="center"/>
                </w:tcPr>
                <w:p w14:paraId="5F50530A">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eastAsia="宋体" w:cs="Times New Roman"/>
                      <w:b w:val="0"/>
                      <w:bCs w:val="0"/>
                      <w:color w:val="000000"/>
                      <w:sz w:val="21"/>
                      <w:szCs w:val="21"/>
                      <w:highlight w:val="none"/>
                      <w:vertAlign w:val="baseline"/>
                      <w:lang w:eastAsia="zh-CN"/>
                    </w:rPr>
                    <w:t>噪声</w:t>
                  </w:r>
                </w:p>
              </w:tc>
              <w:tc>
                <w:tcPr>
                  <w:tcW w:w="1602" w:type="dxa"/>
                  <w:noWrap w:val="0"/>
                  <w:vAlign w:val="center"/>
                </w:tcPr>
                <w:p w14:paraId="3C04C09B">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噪声：减振、降噪</w:t>
                  </w:r>
                </w:p>
              </w:tc>
              <w:tc>
                <w:tcPr>
                  <w:tcW w:w="1986" w:type="dxa"/>
                  <w:noWrap w:val="0"/>
                  <w:vAlign w:val="center"/>
                </w:tcPr>
                <w:p w14:paraId="6C062822">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噪声：减振、降噪</w:t>
                  </w:r>
                </w:p>
              </w:tc>
              <w:tc>
                <w:tcPr>
                  <w:tcW w:w="1987" w:type="dxa"/>
                  <w:tcBorders>
                    <w:right w:val="nil"/>
                  </w:tcBorders>
                  <w:noWrap w:val="0"/>
                  <w:vAlign w:val="center"/>
                </w:tcPr>
                <w:p w14:paraId="0CF08828">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不变</w:t>
                  </w:r>
                </w:p>
              </w:tc>
            </w:tr>
            <w:tr w14:paraId="5FF9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dxa"/>
                  <w:vMerge w:val="continue"/>
                  <w:tcBorders>
                    <w:left w:val="nil"/>
                    <w:bottom w:val="single" w:color="auto" w:sz="12" w:space="0"/>
                  </w:tcBorders>
                  <w:noWrap w:val="0"/>
                  <w:vAlign w:val="center"/>
                </w:tcPr>
                <w:p w14:paraId="5E7DCFD2">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p>
              </w:tc>
              <w:tc>
                <w:tcPr>
                  <w:tcW w:w="671" w:type="dxa"/>
                  <w:tcBorders>
                    <w:bottom w:val="single" w:color="auto" w:sz="12" w:space="0"/>
                  </w:tcBorders>
                  <w:noWrap w:val="0"/>
                  <w:vAlign w:val="center"/>
                </w:tcPr>
                <w:p w14:paraId="0919171C">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eastAsia="宋体" w:cs="Times New Roman"/>
                      <w:b w:val="0"/>
                      <w:bCs w:val="0"/>
                      <w:color w:val="000000"/>
                      <w:sz w:val="21"/>
                      <w:szCs w:val="21"/>
                      <w:highlight w:val="none"/>
                      <w:vertAlign w:val="baseline"/>
                      <w:lang w:eastAsia="zh-CN"/>
                    </w:rPr>
                    <w:t>固废</w:t>
                  </w:r>
                </w:p>
              </w:tc>
              <w:tc>
                <w:tcPr>
                  <w:tcW w:w="1602" w:type="dxa"/>
                  <w:tcBorders>
                    <w:bottom w:val="single" w:color="auto" w:sz="12" w:space="0"/>
                  </w:tcBorders>
                  <w:noWrap w:val="0"/>
                  <w:vAlign w:val="center"/>
                </w:tcPr>
                <w:p w14:paraId="735812CE">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固废：垃圾桶、一般固废贮存间、危险废物暂存间</w:t>
                  </w:r>
                </w:p>
              </w:tc>
              <w:tc>
                <w:tcPr>
                  <w:tcW w:w="1986" w:type="dxa"/>
                  <w:tcBorders>
                    <w:bottom w:val="single" w:color="auto" w:sz="12" w:space="0"/>
                  </w:tcBorders>
                  <w:noWrap w:val="0"/>
                  <w:vAlign w:val="center"/>
                </w:tcPr>
                <w:p w14:paraId="31416875">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固废：垃圾桶、一般固废贮存间、危险废物暂存间</w:t>
                  </w:r>
                </w:p>
              </w:tc>
              <w:tc>
                <w:tcPr>
                  <w:tcW w:w="1987" w:type="dxa"/>
                  <w:tcBorders>
                    <w:bottom w:val="single" w:color="auto" w:sz="12" w:space="0"/>
                    <w:right w:val="nil"/>
                  </w:tcBorders>
                  <w:noWrap w:val="0"/>
                  <w:vAlign w:val="center"/>
                </w:tcPr>
                <w:p w14:paraId="131B0757">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eastAsia="zh-CN"/>
                    </w:rPr>
                  </w:pPr>
                  <w:r>
                    <w:rPr>
                      <w:rFonts w:hint="eastAsia" w:eastAsia="宋体" w:cs="Times New Roman"/>
                      <w:b w:val="0"/>
                      <w:bCs w:val="0"/>
                      <w:color w:val="000000"/>
                      <w:sz w:val="21"/>
                      <w:szCs w:val="21"/>
                      <w:highlight w:val="none"/>
                      <w:vertAlign w:val="baseline"/>
                      <w:lang w:eastAsia="zh-CN"/>
                    </w:rPr>
                    <w:t>不变</w:t>
                  </w:r>
                </w:p>
              </w:tc>
            </w:tr>
          </w:tbl>
          <w:p w14:paraId="04DC9A31">
            <w:pPr>
              <w:pStyle w:val="68"/>
              <w:keepNext w:val="0"/>
              <w:keepLines w:val="0"/>
              <w:pageBreakBefore w:val="0"/>
              <w:widowControl w:val="0"/>
              <w:kinsoku/>
              <w:wordWrap/>
              <w:overflowPunct/>
              <w:topLinePunct w:val="0"/>
              <w:autoSpaceDE/>
              <w:autoSpaceDN/>
              <w:bidi w:val="0"/>
              <w:adjustRightInd w:val="0"/>
              <w:snapToGrid w:val="0"/>
              <w:spacing w:before="157" w:beforeLines="50" w:line="240" w:lineRule="auto"/>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表</w:t>
            </w:r>
            <w:r>
              <w:rPr>
                <w:rFonts w:hint="default"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rPr>
              <w:t>-</w:t>
            </w:r>
            <w:r>
              <w:rPr>
                <w:rFonts w:hint="eastAsia" w:ascii="Times New Roman" w:hAnsi="Times New Roman" w:eastAsia="宋体" w:cs="Times New Roman"/>
                <w:b/>
                <w:bCs/>
                <w:color w:val="000000"/>
                <w:sz w:val="24"/>
                <w:szCs w:val="24"/>
                <w:highlight w:val="none"/>
                <w:lang w:val="en-US" w:eastAsia="zh-CN"/>
              </w:rPr>
              <w:t>3</w:t>
            </w:r>
            <w:r>
              <w:rPr>
                <w:rFonts w:hint="default" w:ascii="Times New Roman" w:hAnsi="Times New Roman" w:eastAsia="宋体" w:cs="Times New Roman"/>
                <w:b/>
                <w:bCs/>
                <w:color w:val="000000"/>
                <w:sz w:val="24"/>
                <w:szCs w:val="24"/>
                <w:highlight w:val="none"/>
              </w:rPr>
              <w:t xml:space="preserve"> </w:t>
            </w:r>
            <w:r>
              <w:rPr>
                <w:rFonts w:hint="eastAsia" w:eastAsia="宋体" w:cs="Times New Roman"/>
                <w:b/>
                <w:bCs/>
                <w:color w:val="000000"/>
                <w:sz w:val="24"/>
                <w:szCs w:val="24"/>
                <w:highlight w:val="none"/>
                <w:lang w:eastAsia="zh-CN"/>
              </w:rPr>
              <w:t>改扩建</w:t>
            </w:r>
            <w:r>
              <w:rPr>
                <w:rFonts w:hint="eastAsia" w:ascii="Times New Roman" w:hAnsi="Times New Roman" w:eastAsia="宋体" w:cs="Times New Roman"/>
                <w:b/>
                <w:bCs/>
                <w:color w:val="000000"/>
                <w:sz w:val="24"/>
                <w:szCs w:val="24"/>
                <w:highlight w:val="none"/>
                <w:lang w:eastAsia="zh-CN"/>
              </w:rPr>
              <w:t>后</w:t>
            </w:r>
            <w:r>
              <w:rPr>
                <w:rFonts w:hint="default" w:ascii="Times New Roman" w:hAnsi="Times New Roman" w:eastAsia="宋体" w:cs="Times New Roman"/>
                <w:b/>
                <w:bCs/>
                <w:color w:val="000000"/>
                <w:sz w:val="24"/>
                <w:szCs w:val="24"/>
                <w:highlight w:val="none"/>
              </w:rPr>
              <w:t>项目主要建设内容</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91"/>
              <w:gridCol w:w="49"/>
              <w:gridCol w:w="487"/>
              <w:gridCol w:w="487"/>
              <w:gridCol w:w="4623"/>
              <w:gridCol w:w="1205"/>
            </w:tblGrid>
            <w:tr w14:paraId="37CBCD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0" w:type="pct"/>
                  <w:gridSpan w:val="4"/>
                  <w:tcBorders>
                    <w:tl2br w:val="nil"/>
                    <w:tr2bl w:val="nil"/>
                  </w:tcBorders>
                  <w:noWrap w:val="0"/>
                  <w:tcMar>
                    <w:top w:w="15" w:type="dxa"/>
                    <w:left w:w="15" w:type="dxa"/>
                    <w:right w:w="15" w:type="dxa"/>
                  </w:tcMar>
                  <w:vAlign w:val="center"/>
                </w:tcPr>
                <w:p w14:paraId="6718F81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rPr>
                    <w:t>项目</w:t>
                  </w:r>
                  <w:r>
                    <w:rPr>
                      <w:rFonts w:hint="default" w:ascii="Times New Roman" w:hAnsi="Times New Roman" w:eastAsia="宋体" w:cs="Times New Roman"/>
                      <w:color w:val="000000"/>
                      <w:sz w:val="21"/>
                      <w:szCs w:val="21"/>
                      <w:highlight w:val="none"/>
                      <w:lang w:eastAsia="zh-CN"/>
                    </w:rPr>
                    <w:t>组成</w:t>
                  </w:r>
                </w:p>
              </w:tc>
              <w:tc>
                <w:tcPr>
                  <w:tcW w:w="2910" w:type="pct"/>
                  <w:tcBorders>
                    <w:tl2br w:val="nil"/>
                    <w:tr2bl w:val="nil"/>
                  </w:tcBorders>
                  <w:noWrap w:val="0"/>
                  <w:tcMar>
                    <w:top w:w="15" w:type="dxa"/>
                    <w:left w:w="15" w:type="dxa"/>
                    <w:right w:w="15" w:type="dxa"/>
                  </w:tcMar>
                  <w:vAlign w:val="center"/>
                </w:tcPr>
                <w:p w14:paraId="09C0EF7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主要内容</w:t>
                  </w:r>
                </w:p>
              </w:tc>
              <w:tc>
                <w:tcPr>
                  <w:tcW w:w="758" w:type="pct"/>
                  <w:tcBorders>
                    <w:tl2br w:val="nil"/>
                    <w:tr2bl w:val="nil"/>
                  </w:tcBorders>
                  <w:noWrap w:val="0"/>
                  <w:tcMar>
                    <w:top w:w="15" w:type="dxa"/>
                    <w:left w:w="15" w:type="dxa"/>
                    <w:right w:w="15" w:type="dxa"/>
                  </w:tcMar>
                  <w:vAlign w:val="center"/>
                </w:tcPr>
                <w:p w14:paraId="319E29E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备注</w:t>
                  </w:r>
                </w:p>
              </w:tc>
            </w:tr>
            <w:tr w14:paraId="052DD8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22" w:hRule="atLeast"/>
              </w:trPr>
              <w:tc>
                <w:tcPr>
                  <w:tcW w:w="1330" w:type="pct"/>
                  <w:gridSpan w:val="4"/>
                  <w:tcBorders>
                    <w:tl2br w:val="nil"/>
                    <w:tr2bl w:val="nil"/>
                  </w:tcBorders>
                  <w:noWrap w:val="0"/>
                  <w:tcMar>
                    <w:top w:w="15" w:type="dxa"/>
                    <w:left w:w="15" w:type="dxa"/>
                    <w:right w:w="15" w:type="dxa"/>
                  </w:tcMar>
                  <w:vAlign w:val="center"/>
                </w:tcPr>
                <w:p w14:paraId="6E2FAD59">
                  <w:pPr>
                    <w:spacing w:beforeLines="0" w:afterLine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rPr>
                    <w:t>主体工程</w:t>
                  </w:r>
                </w:p>
              </w:tc>
              <w:tc>
                <w:tcPr>
                  <w:tcW w:w="2910" w:type="pct"/>
                  <w:tcBorders>
                    <w:tl2br w:val="nil"/>
                    <w:tr2bl w:val="nil"/>
                  </w:tcBorders>
                  <w:noWrap w:val="0"/>
                  <w:tcMar>
                    <w:top w:w="15" w:type="dxa"/>
                    <w:left w:w="15" w:type="dxa"/>
                    <w:right w:w="15" w:type="dxa"/>
                  </w:tcMar>
                  <w:vAlign w:val="center"/>
                </w:tcPr>
                <w:p w14:paraId="2B22347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项目厂房1F</w:t>
                  </w:r>
                  <w:r>
                    <w:rPr>
                      <w:rFonts w:hint="eastAsia" w:cs="Times New Roman"/>
                      <w:color w:val="000000"/>
                      <w:sz w:val="21"/>
                      <w:szCs w:val="21"/>
                      <w:highlight w:val="none"/>
                      <w:lang w:val="en-US" w:eastAsia="zh-CN"/>
                    </w:rPr>
                    <w:t>为印花布生产车间，</w:t>
                  </w:r>
                  <w:r>
                    <w:rPr>
                      <w:rFonts w:hint="eastAsia" w:ascii="Times New Roman" w:hAnsi="Times New Roman" w:eastAsia="宋体" w:cs="Times New Roman"/>
                      <w:color w:val="000000"/>
                      <w:sz w:val="21"/>
                      <w:szCs w:val="21"/>
                      <w:highlight w:val="none"/>
                      <w:lang w:val="en-US" w:eastAsia="zh-CN"/>
                    </w:rPr>
                    <w:t>主要设置</w:t>
                  </w:r>
                  <w:r>
                    <w:rPr>
                      <w:rFonts w:hint="eastAsia" w:cs="Times New Roman"/>
                      <w:color w:val="000000"/>
                      <w:sz w:val="21"/>
                      <w:szCs w:val="21"/>
                      <w:highlight w:val="none"/>
                      <w:lang w:val="en-US" w:eastAsia="zh-CN"/>
                    </w:rPr>
                    <w:t>手工印花桌</w:t>
                  </w:r>
                  <w:r>
                    <w:rPr>
                      <w:rFonts w:hint="eastAsia" w:ascii="Times New Roman" w:hAnsi="Times New Roman" w:eastAsia="宋体" w:cs="Times New Roman"/>
                      <w:color w:val="000000"/>
                      <w:sz w:val="21"/>
                      <w:szCs w:val="21"/>
                      <w:highlight w:val="none"/>
                      <w:lang w:val="en-US" w:eastAsia="zh-CN"/>
                    </w:rPr>
                    <w:t>，建筑面积约为</w:t>
                  </w:r>
                  <w:r>
                    <w:rPr>
                      <w:rFonts w:hint="eastAsia" w:cs="Times New Roman"/>
                      <w:color w:val="000000"/>
                      <w:sz w:val="21"/>
                      <w:szCs w:val="21"/>
                      <w:highlight w:val="none"/>
                      <w:lang w:val="en-US" w:eastAsia="zh-CN"/>
                    </w:rPr>
                    <w:t>4</w:t>
                  </w:r>
                  <w:r>
                    <w:rPr>
                      <w:rFonts w:hint="eastAsia" w:ascii="Times New Roman" w:hAnsi="Times New Roman" w:eastAsia="宋体" w:cs="Times New Roman"/>
                      <w:color w:val="000000"/>
                      <w:sz w:val="21"/>
                      <w:szCs w:val="21"/>
                      <w:highlight w:val="none"/>
                      <w:lang w:val="en-US" w:eastAsia="zh-CN"/>
                    </w:rPr>
                    <w:t>00m</w:t>
                  </w:r>
                  <w:r>
                    <w:rPr>
                      <w:rFonts w:hint="eastAsia"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lang w:val="en-US" w:eastAsia="zh-CN"/>
                    </w:rPr>
                    <w:t>；</w:t>
                  </w:r>
                </w:p>
                <w:p w14:paraId="387B46F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2F</w:t>
                  </w:r>
                  <w:r>
                    <w:rPr>
                      <w:rFonts w:hint="eastAsia" w:cs="Times New Roman"/>
                      <w:color w:val="000000"/>
                      <w:sz w:val="21"/>
                      <w:szCs w:val="21"/>
                      <w:highlight w:val="none"/>
                      <w:lang w:val="en-US" w:eastAsia="zh-CN"/>
                    </w:rPr>
                    <w:t>为印花布、印花片生产车间，</w:t>
                  </w:r>
                  <w:r>
                    <w:rPr>
                      <w:rFonts w:hint="eastAsia" w:ascii="Times New Roman" w:hAnsi="Times New Roman" w:eastAsia="宋体" w:cs="Times New Roman"/>
                      <w:color w:val="000000"/>
                      <w:sz w:val="21"/>
                      <w:szCs w:val="21"/>
                      <w:highlight w:val="none"/>
                      <w:lang w:val="en-US" w:eastAsia="zh-CN"/>
                    </w:rPr>
                    <w:t>主要设置印花机、隧道烘干机、松布机、卷布机等设备，建筑面积约为500m</w:t>
                  </w:r>
                  <w:r>
                    <w:rPr>
                      <w:rFonts w:hint="eastAsia"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lang w:val="en-US" w:eastAsia="zh-CN"/>
                    </w:rPr>
                    <w:t>；</w:t>
                  </w:r>
                </w:p>
                <w:p w14:paraId="2DED75A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4F</w:t>
                  </w:r>
                  <w:r>
                    <w:rPr>
                      <w:rFonts w:hint="eastAsia" w:cs="Times New Roman"/>
                      <w:color w:val="000000"/>
                      <w:sz w:val="21"/>
                      <w:szCs w:val="21"/>
                      <w:highlight w:val="none"/>
                      <w:lang w:val="en-US" w:eastAsia="zh-CN"/>
                    </w:rPr>
                    <w:t>为印花片、服装印花生产车间，</w:t>
                  </w:r>
                  <w:r>
                    <w:rPr>
                      <w:rFonts w:hint="eastAsia" w:ascii="Times New Roman" w:hAnsi="Times New Roman" w:eastAsia="宋体" w:cs="Times New Roman"/>
                      <w:color w:val="000000"/>
                      <w:sz w:val="21"/>
                      <w:szCs w:val="21"/>
                      <w:highlight w:val="none"/>
                      <w:lang w:val="en-US" w:eastAsia="zh-CN"/>
                    </w:rPr>
                    <w:t>主要设置</w:t>
                  </w:r>
                  <w:r>
                    <w:rPr>
                      <w:rFonts w:hint="eastAsia" w:cs="Times New Roman"/>
                      <w:color w:val="000000"/>
                      <w:sz w:val="21"/>
                      <w:szCs w:val="21"/>
                      <w:highlight w:val="none"/>
                      <w:lang w:val="en-US" w:eastAsia="zh-CN"/>
                    </w:rPr>
                    <w:t>手工印花桌</w:t>
                  </w:r>
                  <w:r>
                    <w:rPr>
                      <w:rFonts w:hint="eastAsia" w:ascii="Times New Roman" w:hAnsi="Times New Roman" w:eastAsia="宋体" w:cs="Times New Roman"/>
                      <w:color w:val="000000"/>
                      <w:sz w:val="21"/>
                      <w:szCs w:val="21"/>
                      <w:highlight w:val="none"/>
                      <w:lang w:val="en-US" w:eastAsia="zh-CN"/>
                    </w:rPr>
                    <w:t>、椭圆裁片自动印花机、烘干机等设备，建筑面积约为500m</w:t>
                  </w:r>
                  <w:r>
                    <w:rPr>
                      <w:rFonts w:hint="eastAsia"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lang w:val="en-US" w:eastAsia="zh-CN"/>
                    </w:rPr>
                    <w:t>；</w:t>
                  </w:r>
                </w:p>
                <w:p w14:paraId="253EC9F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5F</w:t>
                  </w:r>
                  <w:r>
                    <w:rPr>
                      <w:rFonts w:hint="eastAsia" w:cs="Times New Roman"/>
                      <w:color w:val="000000"/>
                      <w:sz w:val="21"/>
                      <w:szCs w:val="21"/>
                      <w:highlight w:val="none"/>
                      <w:lang w:val="en-US" w:eastAsia="zh-CN"/>
                    </w:rPr>
                    <w:t>为印花片、服装印花生产车间，</w:t>
                  </w:r>
                  <w:r>
                    <w:rPr>
                      <w:rFonts w:hint="eastAsia" w:ascii="Times New Roman" w:hAnsi="Times New Roman" w:eastAsia="宋体" w:cs="Times New Roman"/>
                      <w:color w:val="000000"/>
                      <w:sz w:val="21"/>
                      <w:szCs w:val="21"/>
                      <w:highlight w:val="none"/>
                      <w:lang w:val="en-US" w:eastAsia="zh-CN"/>
                    </w:rPr>
                    <w:t>主要设置</w:t>
                  </w:r>
                  <w:r>
                    <w:rPr>
                      <w:rFonts w:hint="eastAsia" w:cs="Times New Roman"/>
                      <w:color w:val="000000"/>
                      <w:sz w:val="21"/>
                      <w:szCs w:val="21"/>
                      <w:highlight w:val="none"/>
                      <w:lang w:val="en-US" w:eastAsia="zh-CN"/>
                    </w:rPr>
                    <w:t>手工印花桌</w:t>
                  </w:r>
                  <w:r>
                    <w:rPr>
                      <w:rFonts w:hint="eastAsia" w:ascii="Times New Roman" w:hAnsi="Times New Roman" w:eastAsia="宋体" w:cs="Times New Roman"/>
                      <w:color w:val="000000"/>
                      <w:sz w:val="21"/>
                      <w:szCs w:val="21"/>
                      <w:highlight w:val="none"/>
                      <w:lang w:val="en-US" w:eastAsia="zh-CN"/>
                    </w:rPr>
                    <w:t>、椭圆裁片自动印花机等设备，建筑面积约为500m</w:t>
                  </w:r>
                  <w:r>
                    <w:rPr>
                      <w:rFonts w:hint="eastAsia"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lang w:val="en-US" w:eastAsia="zh-CN"/>
                    </w:rPr>
                    <w:t>；</w:t>
                  </w:r>
                </w:p>
                <w:p w14:paraId="1634CD5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6F</w:t>
                  </w:r>
                  <w:r>
                    <w:rPr>
                      <w:rFonts w:hint="eastAsia" w:cs="Times New Roman"/>
                      <w:color w:val="000000"/>
                      <w:sz w:val="21"/>
                      <w:szCs w:val="21"/>
                      <w:highlight w:val="none"/>
                      <w:lang w:val="en-US" w:eastAsia="zh-CN"/>
                    </w:rPr>
                    <w:t>为制版车间，</w:t>
                  </w:r>
                  <w:r>
                    <w:rPr>
                      <w:rFonts w:hint="eastAsia" w:ascii="Times New Roman" w:hAnsi="Times New Roman" w:eastAsia="宋体" w:cs="Times New Roman"/>
                      <w:color w:val="000000"/>
                      <w:sz w:val="21"/>
                      <w:szCs w:val="21"/>
                      <w:highlight w:val="none"/>
                      <w:lang w:val="en-US" w:eastAsia="zh-CN"/>
                    </w:rPr>
                    <w:t>主要设置</w:t>
                  </w:r>
                  <w:r>
                    <w:rPr>
                      <w:rFonts w:hint="eastAsia" w:cs="Times New Roman"/>
                      <w:color w:val="000000"/>
                      <w:sz w:val="21"/>
                      <w:szCs w:val="21"/>
                      <w:highlight w:val="none"/>
                      <w:lang w:val="en-US" w:eastAsia="zh-CN"/>
                    </w:rPr>
                    <w:t>制版区、洗板区</w:t>
                  </w:r>
                  <w:r>
                    <w:rPr>
                      <w:rFonts w:hint="eastAsia" w:ascii="Times New Roman" w:hAnsi="Times New Roman" w:eastAsia="宋体" w:cs="Times New Roman"/>
                      <w:color w:val="000000"/>
                      <w:sz w:val="21"/>
                      <w:szCs w:val="21"/>
                      <w:highlight w:val="none"/>
                      <w:lang w:val="en-US" w:eastAsia="zh-CN"/>
                    </w:rPr>
                    <w:t>，建筑面积约为</w:t>
                  </w:r>
                  <w:r>
                    <w:rPr>
                      <w:rFonts w:hint="eastAsia" w:cs="Times New Roman"/>
                      <w:color w:val="000000"/>
                      <w:sz w:val="21"/>
                      <w:szCs w:val="21"/>
                      <w:highlight w:val="none"/>
                      <w:lang w:val="en-US" w:eastAsia="zh-CN"/>
                    </w:rPr>
                    <w:t>3</w:t>
                  </w:r>
                  <w:r>
                    <w:rPr>
                      <w:rFonts w:hint="eastAsia" w:ascii="Times New Roman" w:hAnsi="Times New Roman" w:eastAsia="宋体" w:cs="Times New Roman"/>
                      <w:color w:val="000000"/>
                      <w:sz w:val="21"/>
                      <w:szCs w:val="21"/>
                      <w:highlight w:val="none"/>
                      <w:lang w:val="en-US" w:eastAsia="zh-CN"/>
                    </w:rPr>
                    <w:t>00m</w:t>
                  </w:r>
                  <w:r>
                    <w:rPr>
                      <w:rFonts w:hint="eastAsia"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lang w:val="en-US" w:eastAsia="zh-CN"/>
                    </w:rPr>
                    <w:t>。</w:t>
                  </w:r>
                </w:p>
              </w:tc>
              <w:tc>
                <w:tcPr>
                  <w:tcW w:w="758" w:type="pct"/>
                  <w:tcBorders>
                    <w:tl2br w:val="nil"/>
                    <w:tr2bl w:val="nil"/>
                  </w:tcBorders>
                  <w:noWrap w:val="0"/>
                  <w:tcMar>
                    <w:top w:w="15" w:type="dxa"/>
                    <w:left w:w="15" w:type="dxa"/>
                    <w:right w:w="15" w:type="dxa"/>
                  </w:tcMar>
                  <w:vAlign w:val="center"/>
                </w:tcPr>
                <w:p w14:paraId="34755D2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依托出租方</w:t>
                  </w:r>
                </w:p>
              </w:tc>
            </w:tr>
            <w:tr w14:paraId="70A286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6" w:type="pct"/>
                  <w:vMerge w:val="restart"/>
                  <w:tcBorders>
                    <w:tl2br w:val="nil"/>
                    <w:tr2bl w:val="nil"/>
                  </w:tcBorders>
                  <w:noWrap w:val="0"/>
                  <w:tcMar>
                    <w:top w:w="15" w:type="dxa"/>
                    <w:left w:w="15" w:type="dxa"/>
                    <w:right w:w="15" w:type="dxa"/>
                  </w:tcMar>
                  <w:vAlign w:val="center"/>
                </w:tcPr>
                <w:p w14:paraId="5A4C58CE">
                  <w:pPr>
                    <w:pStyle w:val="51"/>
                    <w:keepNext w:val="0"/>
                    <w:keepLines w:val="0"/>
                    <w:pageBreakBefore w:val="0"/>
                    <w:widowControl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辅助工程</w:t>
                  </w:r>
                </w:p>
              </w:tc>
              <w:tc>
                <w:tcPr>
                  <w:tcW w:w="644" w:type="pct"/>
                  <w:gridSpan w:val="3"/>
                  <w:tcBorders>
                    <w:tl2br w:val="nil"/>
                    <w:tr2bl w:val="nil"/>
                  </w:tcBorders>
                  <w:noWrap w:val="0"/>
                  <w:tcMar>
                    <w:top w:w="15" w:type="dxa"/>
                    <w:left w:w="15" w:type="dxa"/>
                    <w:right w:w="15" w:type="dxa"/>
                  </w:tcMar>
                  <w:vAlign w:val="center"/>
                </w:tcPr>
                <w:p w14:paraId="5D8280D9">
                  <w:pPr>
                    <w:pStyle w:val="51"/>
                    <w:keepNext w:val="0"/>
                    <w:keepLines w:val="0"/>
                    <w:pageBreakBefore w:val="0"/>
                    <w:widowControl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办公楼</w:t>
                  </w:r>
                </w:p>
              </w:tc>
              <w:tc>
                <w:tcPr>
                  <w:tcW w:w="2910" w:type="pct"/>
                  <w:tcBorders>
                    <w:tl2br w:val="nil"/>
                    <w:tr2bl w:val="nil"/>
                  </w:tcBorders>
                  <w:noWrap w:val="0"/>
                  <w:tcMar>
                    <w:top w:w="15" w:type="dxa"/>
                    <w:left w:w="15" w:type="dxa"/>
                    <w:right w:w="15" w:type="dxa"/>
                  </w:tcMar>
                  <w:vAlign w:val="center"/>
                </w:tcPr>
                <w:p w14:paraId="6AFE04A9">
                  <w:pPr>
                    <w:pStyle w:val="51"/>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员工办公场所依托厂区原有办公场所，</w:t>
                  </w:r>
                  <w:r>
                    <w:rPr>
                      <w:rFonts w:hint="eastAsia" w:ascii="Times New Roman" w:cs="Times New Roman"/>
                      <w:color w:val="000000"/>
                      <w:sz w:val="21"/>
                      <w:szCs w:val="21"/>
                      <w:highlight w:val="none"/>
                      <w:lang w:val="en-US" w:eastAsia="zh-CN"/>
                    </w:rPr>
                    <w:t>位于2F北侧，</w:t>
                  </w:r>
                  <w:r>
                    <w:rPr>
                      <w:rFonts w:hint="eastAsia" w:ascii="Times New Roman" w:hAnsi="Times New Roman" w:eastAsia="宋体" w:cs="Times New Roman"/>
                      <w:color w:val="000000"/>
                      <w:sz w:val="21"/>
                      <w:szCs w:val="21"/>
                      <w:highlight w:val="none"/>
                      <w:lang w:val="en-US" w:eastAsia="zh-CN"/>
                    </w:rPr>
                    <w:t>面积约为500m</w:t>
                  </w:r>
                  <w:r>
                    <w:rPr>
                      <w:rFonts w:hint="eastAsia" w:ascii="Times New Roman" w:hAnsi="Times New Roman" w:eastAsia="宋体" w:cs="Times New Roman"/>
                      <w:color w:val="000000"/>
                      <w:sz w:val="21"/>
                      <w:szCs w:val="21"/>
                      <w:highlight w:val="none"/>
                      <w:vertAlign w:val="superscript"/>
                      <w:lang w:val="en-US" w:eastAsia="zh-CN"/>
                    </w:rPr>
                    <w:t>2</w:t>
                  </w:r>
                </w:p>
              </w:tc>
              <w:tc>
                <w:tcPr>
                  <w:tcW w:w="758" w:type="pct"/>
                  <w:vMerge w:val="restart"/>
                  <w:tcBorders>
                    <w:tl2br w:val="nil"/>
                    <w:tr2bl w:val="nil"/>
                  </w:tcBorders>
                  <w:noWrap w:val="0"/>
                  <w:tcMar>
                    <w:top w:w="15" w:type="dxa"/>
                    <w:left w:w="15" w:type="dxa"/>
                    <w:right w:w="15" w:type="dxa"/>
                  </w:tcMar>
                  <w:vAlign w:val="center"/>
                </w:tcPr>
                <w:p w14:paraId="29755E7B">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依托出租方</w:t>
                  </w:r>
                </w:p>
              </w:tc>
            </w:tr>
            <w:tr w14:paraId="52F6DF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6" w:type="pct"/>
                  <w:vMerge w:val="continue"/>
                  <w:tcBorders>
                    <w:tl2br w:val="nil"/>
                    <w:tr2bl w:val="nil"/>
                  </w:tcBorders>
                  <w:noWrap w:val="0"/>
                  <w:tcMar>
                    <w:top w:w="15" w:type="dxa"/>
                    <w:left w:w="15" w:type="dxa"/>
                    <w:right w:w="15" w:type="dxa"/>
                  </w:tcMar>
                  <w:vAlign w:val="center"/>
                </w:tcPr>
                <w:p w14:paraId="06C37C59">
                  <w:pPr>
                    <w:pStyle w:val="51"/>
                    <w:keepNext w:val="0"/>
                    <w:keepLines w:val="0"/>
                    <w:pageBreakBefore w:val="0"/>
                    <w:widowControl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Times New Roman"/>
                      <w:color w:val="000000"/>
                      <w:sz w:val="21"/>
                      <w:szCs w:val="21"/>
                      <w:highlight w:val="none"/>
                      <w:lang w:eastAsia="zh-CN"/>
                    </w:rPr>
                  </w:pPr>
                </w:p>
              </w:tc>
              <w:tc>
                <w:tcPr>
                  <w:tcW w:w="644" w:type="pct"/>
                  <w:gridSpan w:val="3"/>
                  <w:tcBorders>
                    <w:tl2br w:val="nil"/>
                    <w:tr2bl w:val="nil"/>
                  </w:tcBorders>
                  <w:noWrap w:val="0"/>
                  <w:tcMar>
                    <w:top w:w="15" w:type="dxa"/>
                    <w:left w:w="15" w:type="dxa"/>
                    <w:right w:w="15" w:type="dxa"/>
                  </w:tcMar>
                  <w:vAlign w:val="center"/>
                </w:tcPr>
                <w:p w14:paraId="3B71EBBE">
                  <w:pPr>
                    <w:pStyle w:val="51"/>
                    <w:keepNext w:val="0"/>
                    <w:keepLines w:val="0"/>
                    <w:pageBreakBefore w:val="0"/>
                    <w:widowControl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宿舍</w:t>
                  </w:r>
                </w:p>
              </w:tc>
              <w:tc>
                <w:tcPr>
                  <w:tcW w:w="2910" w:type="pct"/>
                  <w:tcBorders>
                    <w:tl2br w:val="nil"/>
                    <w:tr2bl w:val="nil"/>
                  </w:tcBorders>
                  <w:noWrap w:val="0"/>
                  <w:tcMar>
                    <w:top w:w="15" w:type="dxa"/>
                    <w:left w:w="15" w:type="dxa"/>
                    <w:right w:w="15" w:type="dxa"/>
                  </w:tcMar>
                  <w:vAlign w:val="center"/>
                </w:tcPr>
                <w:p w14:paraId="27FE66ED">
                  <w:pPr>
                    <w:pStyle w:val="51"/>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宿舍依托厂区原有的宿舍楼，</w:t>
                  </w:r>
                  <w:r>
                    <w:rPr>
                      <w:rFonts w:hint="eastAsia" w:ascii="Times New Roman" w:cs="Times New Roman"/>
                      <w:color w:val="000000"/>
                      <w:sz w:val="21"/>
                      <w:szCs w:val="21"/>
                      <w:highlight w:val="none"/>
                      <w:lang w:val="en-US" w:eastAsia="zh-CN"/>
                    </w:rPr>
                    <w:t>位于1F、4F、5F北侧，</w:t>
                  </w:r>
                  <w:r>
                    <w:rPr>
                      <w:rFonts w:hint="eastAsia" w:ascii="Times New Roman" w:hAnsi="Times New Roman" w:eastAsia="宋体" w:cs="Times New Roman"/>
                      <w:color w:val="000000"/>
                      <w:sz w:val="21"/>
                      <w:szCs w:val="21"/>
                      <w:highlight w:val="none"/>
                      <w:lang w:val="en-US" w:eastAsia="zh-CN"/>
                    </w:rPr>
                    <w:t>面积约为</w:t>
                  </w:r>
                  <w:r>
                    <w:rPr>
                      <w:rFonts w:hint="eastAsia" w:ascii="Times New Roman" w:cs="Times New Roman"/>
                      <w:color w:val="000000"/>
                      <w:sz w:val="21"/>
                      <w:szCs w:val="21"/>
                      <w:highlight w:val="none"/>
                      <w:lang w:val="en-US" w:eastAsia="zh-CN"/>
                    </w:rPr>
                    <w:t>15</w:t>
                  </w:r>
                  <w:r>
                    <w:rPr>
                      <w:rFonts w:hint="eastAsia" w:ascii="Times New Roman" w:hAnsi="Times New Roman" w:eastAsia="宋体" w:cs="Times New Roman"/>
                      <w:color w:val="000000"/>
                      <w:sz w:val="21"/>
                      <w:szCs w:val="21"/>
                      <w:highlight w:val="none"/>
                      <w:lang w:val="en-US" w:eastAsia="zh-CN"/>
                    </w:rPr>
                    <w:t>00m</w:t>
                  </w:r>
                  <w:r>
                    <w:rPr>
                      <w:rFonts w:hint="eastAsia" w:ascii="Times New Roman" w:hAnsi="Times New Roman" w:eastAsia="宋体" w:cs="Times New Roman"/>
                      <w:color w:val="000000"/>
                      <w:sz w:val="21"/>
                      <w:szCs w:val="21"/>
                      <w:highlight w:val="none"/>
                      <w:vertAlign w:val="superscript"/>
                      <w:lang w:val="en-US" w:eastAsia="zh-CN"/>
                    </w:rPr>
                    <w:t>2</w:t>
                  </w:r>
                </w:p>
              </w:tc>
              <w:tc>
                <w:tcPr>
                  <w:tcW w:w="758" w:type="pct"/>
                  <w:vMerge w:val="continue"/>
                  <w:tcBorders>
                    <w:tl2br w:val="nil"/>
                    <w:tr2bl w:val="nil"/>
                  </w:tcBorders>
                  <w:noWrap w:val="0"/>
                  <w:tcMar>
                    <w:top w:w="15" w:type="dxa"/>
                    <w:left w:w="15" w:type="dxa"/>
                    <w:right w:w="15" w:type="dxa"/>
                  </w:tcMar>
                  <w:vAlign w:val="center"/>
                </w:tcPr>
                <w:p w14:paraId="0EB1DE29">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p>
              </w:tc>
            </w:tr>
            <w:tr w14:paraId="7F768D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0" w:type="pct"/>
                  <w:gridSpan w:val="4"/>
                  <w:tcBorders>
                    <w:tl2br w:val="nil"/>
                    <w:tr2bl w:val="nil"/>
                  </w:tcBorders>
                  <w:noWrap w:val="0"/>
                  <w:tcMar>
                    <w:top w:w="15" w:type="dxa"/>
                    <w:left w:w="15" w:type="dxa"/>
                    <w:right w:w="15" w:type="dxa"/>
                  </w:tcMar>
                  <w:vAlign w:val="center"/>
                </w:tcPr>
                <w:p w14:paraId="6D5A9287">
                  <w:pPr>
                    <w:spacing w:beforeLines="0" w:afterLines="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eastAsia="zh-CN"/>
                    </w:rPr>
                    <w:t>储运工程</w:t>
                  </w:r>
                </w:p>
              </w:tc>
              <w:tc>
                <w:tcPr>
                  <w:tcW w:w="2910" w:type="pct"/>
                  <w:tcBorders>
                    <w:tl2br w:val="nil"/>
                    <w:tr2bl w:val="nil"/>
                  </w:tcBorders>
                  <w:noWrap w:val="0"/>
                  <w:tcMar>
                    <w:top w:w="15" w:type="dxa"/>
                    <w:left w:w="15" w:type="dxa"/>
                    <w:right w:w="15" w:type="dxa"/>
                  </w:tcMar>
                  <w:vAlign w:val="center"/>
                </w:tcPr>
                <w:p w14:paraId="5D4EE4A0">
                  <w:pPr>
                    <w:pStyle w:val="51"/>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原料仓库、成品仓库位于1F西南侧</w:t>
                  </w:r>
                  <w:r>
                    <w:rPr>
                      <w:rFonts w:hint="eastAsia" w:ascii="Times New Roman" w:cs="Times New Roman"/>
                      <w:color w:val="000000"/>
                      <w:sz w:val="21"/>
                      <w:szCs w:val="21"/>
                      <w:highlight w:val="none"/>
                      <w:lang w:val="en-US" w:eastAsia="zh-CN"/>
                    </w:rPr>
                    <w:t>，面积约100</w:t>
                  </w:r>
                  <w:r>
                    <w:rPr>
                      <w:rFonts w:hint="eastAsia" w:ascii="Times New Roman" w:hAnsi="Times New Roman" w:eastAsia="宋体" w:cs="Times New Roman"/>
                      <w:color w:val="000000"/>
                      <w:sz w:val="21"/>
                      <w:szCs w:val="21"/>
                      <w:highlight w:val="none"/>
                      <w:lang w:val="en-US" w:eastAsia="zh-CN"/>
                    </w:rPr>
                    <w:t>m</w:t>
                  </w:r>
                  <w:r>
                    <w:rPr>
                      <w:rFonts w:hint="eastAsia" w:ascii="Times New Roman" w:hAnsi="Times New Roman" w:eastAsia="宋体" w:cs="Times New Roman"/>
                      <w:color w:val="000000"/>
                      <w:sz w:val="21"/>
                      <w:szCs w:val="21"/>
                      <w:highlight w:val="none"/>
                      <w:vertAlign w:val="superscript"/>
                      <w:lang w:val="en-US" w:eastAsia="zh-CN"/>
                    </w:rPr>
                    <w:t>2</w:t>
                  </w:r>
                </w:p>
              </w:tc>
              <w:tc>
                <w:tcPr>
                  <w:tcW w:w="758" w:type="pct"/>
                  <w:tcBorders>
                    <w:tl2br w:val="nil"/>
                    <w:tr2bl w:val="nil"/>
                  </w:tcBorders>
                  <w:noWrap w:val="0"/>
                  <w:tcMar>
                    <w:top w:w="15" w:type="dxa"/>
                    <w:left w:w="15" w:type="dxa"/>
                    <w:right w:w="15" w:type="dxa"/>
                  </w:tcMar>
                  <w:vAlign w:val="center"/>
                </w:tcPr>
                <w:p w14:paraId="2D0DB282">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依托出租方</w:t>
                  </w:r>
                </w:p>
              </w:tc>
            </w:tr>
            <w:tr w14:paraId="34D13B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717" w:type="pct"/>
                  <w:gridSpan w:val="2"/>
                  <w:vMerge w:val="restart"/>
                  <w:tcBorders>
                    <w:tl2br w:val="nil"/>
                    <w:tr2bl w:val="nil"/>
                  </w:tcBorders>
                  <w:noWrap w:val="0"/>
                  <w:tcMar>
                    <w:top w:w="15" w:type="dxa"/>
                    <w:left w:w="15" w:type="dxa"/>
                    <w:right w:w="15" w:type="dxa"/>
                  </w:tcMar>
                  <w:vAlign w:val="center"/>
                </w:tcPr>
                <w:p w14:paraId="27B227F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公用工程</w:t>
                  </w:r>
                </w:p>
              </w:tc>
              <w:tc>
                <w:tcPr>
                  <w:tcW w:w="613" w:type="pct"/>
                  <w:gridSpan w:val="2"/>
                  <w:tcBorders>
                    <w:tl2br w:val="nil"/>
                    <w:tr2bl w:val="nil"/>
                  </w:tcBorders>
                  <w:noWrap w:val="0"/>
                  <w:tcMar>
                    <w:top w:w="15" w:type="dxa"/>
                    <w:left w:w="15" w:type="dxa"/>
                    <w:right w:w="15" w:type="dxa"/>
                  </w:tcMar>
                  <w:vAlign w:val="center"/>
                </w:tcPr>
                <w:p w14:paraId="7314D84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供电</w:t>
                  </w:r>
                </w:p>
              </w:tc>
              <w:tc>
                <w:tcPr>
                  <w:tcW w:w="2910" w:type="pct"/>
                  <w:tcBorders>
                    <w:tl2br w:val="nil"/>
                    <w:tr2bl w:val="nil"/>
                  </w:tcBorders>
                  <w:noWrap w:val="0"/>
                  <w:tcMar>
                    <w:top w:w="15" w:type="dxa"/>
                    <w:left w:w="15" w:type="dxa"/>
                    <w:right w:w="15" w:type="dxa"/>
                  </w:tcMar>
                  <w:vAlign w:val="center"/>
                </w:tcPr>
                <w:p w14:paraId="66B55BA3">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GB" w:eastAsia="zh-CN"/>
                    </w:rPr>
                    <w:t>由市政电网接入，向各用电处供电</w:t>
                  </w:r>
                </w:p>
              </w:tc>
              <w:tc>
                <w:tcPr>
                  <w:tcW w:w="758" w:type="pct"/>
                  <w:vMerge w:val="restart"/>
                  <w:tcBorders>
                    <w:tl2br w:val="nil"/>
                    <w:tr2bl w:val="nil"/>
                  </w:tcBorders>
                  <w:noWrap w:val="0"/>
                  <w:tcMar>
                    <w:top w:w="15" w:type="dxa"/>
                    <w:left w:w="15" w:type="dxa"/>
                    <w:right w:w="15" w:type="dxa"/>
                  </w:tcMar>
                  <w:vAlign w:val="center"/>
                </w:tcPr>
                <w:p w14:paraId="7E6E1E79">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val="en-GB" w:eastAsia="zh-CN"/>
                    </w:rPr>
                  </w:pPr>
                  <w:r>
                    <w:rPr>
                      <w:rFonts w:hint="default" w:ascii="Times New Roman" w:hAnsi="Times New Roman" w:eastAsia="宋体" w:cs="Times New Roman"/>
                      <w:color w:val="000000"/>
                      <w:sz w:val="21"/>
                      <w:szCs w:val="21"/>
                      <w:highlight w:val="none"/>
                      <w:lang w:val="en-US" w:eastAsia="zh-CN"/>
                    </w:rPr>
                    <w:t>依托出租方</w:t>
                  </w:r>
                </w:p>
              </w:tc>
            </w:tr>
            <w:tr w14:paraId="1B9E72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717" w:type="pct"/>
                  <w:gridSpan w:val="2"/>
                  <w:vMerge w:val="continue"/>
                  <w:tcBorders>
                    <w:tl2br w:val="nil"/>
                    <w:tr2bl w:val="nil"/>
                  </w:tcBorders>
                  <w:noWrap w:val="0"/>
                  <w:tcMar>
                    <w:top w:w="15" w:type="dxa"/>
                    <w:left w:w="15" w:type="dxa"/>
                    <w:right w:w="15" w:type="dxa"/>
                  </w:tcMar>
                  <w:vAlign w:val="center"/>
                </w:tcPr>
                <w:p w14:paraId="310C3BA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rPr>
                  </w:pPr>
                </w:p>
              </w:tc>
              <w:tc>
                <w:tcPr>
                  <w:tcW w:w="613" w:type="pct"/>
                  <w:gridSpan w:val="2"/>
                  <w:tcBorders>
                    <w:tl2br w:val="nil"/>
                    <w:tr2bl w:val="nil"/>
                  </w:tcBorders>
                  <w:noWrap w:val="0"/>
                  <w:tcMar>
                    <w:top w:w="15" w:type="dxa"/>
                    <w:left w:w="15" w:type="dxa"/>
                    <w:right w:w="15" w:type="dxa"/>
                  </w:tcMar>
                  <w:vAlign w:val="center"/>
                </w:tcPr>
                <w:p w14:paraId="27F78B0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供水</w:t>
                  </w:r>
                </w:p>
              </w:tc>
              <w:tc>
                <w:tcPr>
                  <w:tcW w:w="2910" w:type="pct"/>
                  <w:tcBorders>
                    <w:tl2br w:val="nil"/>
                    <w:tr2bl w:val="nil"/>
                  </w:tcBorders>
                  <w:noWrap w:val="0"/>
                  <w:tcMar>
                    <w:top w:w="15" w:type="dxa"/>
                    <w:left w:w="15" w:type="dxa"/>
                    <w:right w:w="15" w:type="dxa"/>
                  </w:tcMar>
                  <w:vAlign w:val="center"/>
                </w:tcPr>
                <w:p w14:paraId="66209185">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GB" w:eastAsia="zh-CN"/>
                    </w:rPr>
                    <w:t>由市政给水网接入，向各用水处供水</w:t>
                  </w:r>
                </w:p>
              </w:tc>
              <w:tc>
                <w:tcPr>
                  <w:tcW w:w="758" w:type="pct"/>
                  <w:vMerge w:val="continue"/>
                  <w:tcBorders>
                    <w:tl2br w:val="nil"/>
                    <w:tr2bl w:val="nil"/>
                  </w:tcBorders>
                  <w:noWrap w:val="0"/>
                  <w:tcMar>
                    <w:top w:w="15" w:type="dxa"/>
                    <w:left w:w="15" w:type="dxa"/>
                    <w:right w:w="15" w:type="dxa"/>
                  </w:tcMar>
                  <w:vAlign w:val="center"/>
                </w:tcPr>
                <w:p w14:paraId="563D2205">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val="en-GB" w:eastAsia="zh-CN"/>
                    </w:rPr>
                  </w:pPr>
                </w:p>
              </w:tc>
            </w:tr>
            <w:tr w14:paraId="522EC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7" w:type="pct"/>
                  <w:gridSpan w:val="2"/>
                  <w:vMerge w:val="continue"/>
                  <w:tcBorders>
                    <w:tl2br w:val="nil"/>
                    <w:tr2bl w:val="nil"/>
                  </w:tcBorders>
                  <w:noWrap w:val="0"/>
                  <w:tcMar>
                    <w:top w:w="15" w:type="dxa"/>
                    <w:left w:w="15" w:type="dxa"/>
                    <w:right w:w="15" w:type="dxa"/>
                  </w:tcMar>
                  <w:vAlign w:val="center"/>
                </w:tcPr>
                <w:p w14:paraId="700B393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rPr>
                  </w:pPr>
                </w:p>
              </w:tc>
              <w:tc>
                <w:tcPr>
                  <w:tcW w:w="613" w:type="pct"/>
                  <w:gridSpan w:val="2"/>
                  <w:tcBorders>
                    <w:tl2br w:val="nil"/>
                    <w:tr2bl w:val="nil"/>
                  </w:tcBorders>
                  <w:noWrap w:val="0"/>
                  <w:tcMar>
                    <w:top w:w="15" w:type="dxa"/>
                    <w:left w:w="15" w:type="dxa"/>
                    <w:right w:w="15" w:type="dxa"/>
                  </w:tcMar>
                  <w:vAlign w:val="center"/>
                </w:tcPr>
                <w:p w14:paraId="1D931C7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排水</w:t>
                  </w:r>
                </w:p>
              </w:tc>
              <w:tc>
                <w:tcPr>
                  <w:tcW w:w="2910" w:type="pct"/>
                  <w:tcBorders>
                    <w:tl2br w:val="nil"/>
                    <w:tr2bl w:val="nil"/>
                  </w:tcBorders>
                  <w:noWrap w:val="0"/>
                  <w:tcMar>
                    <w:top w:w="15" w:type="dxa"/>
                    <w:left w:w="15" w:type="dxa"/>
                    <w:right w:w="15" w:type="dxa"/>
                  </w:tcMar>
                  <w:vAlign w:val="center"/>
                </w:tcPr>
                <w:p w14:paraId="21A22708">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雨污分流</w:t>
                  </w:r>
                </w:p>
              </w:tc>
              <w:tc>
                <w:tcPr>
                  <w:tcW w:w="758" w:type="pct"/>
                  <w:vMerge w:val="continue"/>
                  <w:tcBorders>
                    <w:tl2br w:val="nil"/>
                    <w:tr2bl w:val="nil"/>
                  </w:tcBorders>
                  <w:noWrap w:val="0"/>
                  <w:tcMar>
                    <w:top w:w="15" w:type="dxa"/>
                    <w:left w:w="15" w:type="dxa"/>
                    <w:right w:w="15" w:type="dxa"/>
                  </w:tcMar>
                  <w:vAlign w:val="center"/>
                </w:tcPr>
                <w:p w14:paraId="51E1FB7C">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p>
              </w:tc>
            </w:tr>
            <w:tr w14:paraId="3791F5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7" w:type="pct"/>
                  <w:gridSpan w:val="2"/>
                  <w:vMerge w:val="restart"/>
                  <w:tcBorders>
                    <w:tl2br w:val="nil"/>
                    <w:tr2bl w:val="nil"/>
                  </w:tcBorders>
                  <w:noWrap w:val="0"/>
                  <w:tcMar>
                    <w:top w:w="15" w:type="dxa"/>
                    <w:left w:w="15" w:type="dxa"/>
                    <w:right w:w="15" w:type="dxa"/>
                  </w:tcMar>
                  <w:vAlign w:val="center"/>
                </w:tcPr>
                <w:p w14:paraId="51B75EE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环保工程</w:t>
                  </w:r>
                </w:p>
              </w:tc>
              <w:tc>
                <w:tcPr>
                  <w:tcW w:w="613" w:type="pct"/>
                  <w:gridSpan w:val="2"/>
                  <w:tcBorders>
                    <w:tl2br w:val="nil"/>
                    <w:tr2bl w:val="nil"/>
                  </w:tcBorders>
                  <w:noWrap w:val="0"/>
                  <w:tcMar>
                    <w:top w:w="15" w:type="dxa"/>
                    <w:left w:w="15" w:type="dxa"/>
                    <w:right w:w="15" w:type="dxa"/>
                  </w:tcMar>
                  <w:vAlign w:val="center"/>
                </w:tcPr>
                <w:p w14:paraId="565CE9F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废气</w:t>
                  </w:r>
                </w:p>
              </w:tc>
              <w:tc>
                <w:tcPr>
                  <w:tcW w:w="2910" w:type="pct"/>
                  <w:tcBorders>
                    <w:tl2br w:val="nil"/>
                    <w:tr2bl w:val="nil"/>
                  </w:tcBorders>
                  <w:noWrap w:val="0"/>
                  <w:tcMar>
                    <w:top w:w="15" w:type="dxa"/>
                    <w:left w:w="15" w:type="dxa"/>
                    <w:right w:w="15" w:type="dxa"/>
                  </w:tcMar>
                  <w:vAlign w:val="center"/>
                </w:tcPr>
                <w:p w14:paraId="01A1F9FD">
                  <w:pPr>
                    <w:adjustRightInd w:val="0"/>
                    <w:snapToGrid w:val="0"/>
                    <w:spacing w:beforeLines="0" w:afterLines="0"/>
                    <w:ind w:firstLine="0"/>
                    <w:jc w:val="center"/>
                    <w:textAlignment w:val="center"/>
                    <w:rPr>
                      <w:rFonts w:hint="default"/>
                      <w:color w:val="000000"/>
                      <w:szCs w:val="21"/>
                      <w:highlight w:val="none"/>
                      <w:lang w:val="en-US" w:eastAsia="zh-CN"/>
                    </w:rPr>
                  </w:pPr>
                  <w:r>
                    <w:rPr>
                      <w:rFonts w:hint="eastAsia"/>
                      <w:color w:val="000000"/>
                      <w:szCs w:val="21"/>
                      <w:highlight w:val="none"/>
                      <w:lang w:val="en-US" w:eastAsia="zh-CN"/>
                    </w:rPr>
                    <w:t>液化气废气由集气罩收集后通过一根20米高排气筒排放；制版、调浆、丝印废气由集气罩收集后经“活性炭吸附”装置处理后通过1根25米高的排气筒排放</w:t>
                  </w:r>
                </w:p>
              </w:tc>
              <w:tc>
                <w:tcPr>
                  <w:tcW w:w="758" w:type="pct"/>
                  <w:tcBorders>
                    <w:tl2br w:val="nil"/>
                    <w:tr2bl w:val="nil"/>
                  </w:tcBorders>
                  <w:noWrap w:val="0"/>
                  <w:tcMar>
                    <w:top w:w="15" w:type="dxa"/>
                    <w:left w:w="15" w:type="dxa"/>
                    <w:right w:w="15" w:type="dxa"/>
                  </w:tcMar>
                  <w:vAlign w:val="center"/>
                </w:tcPr>
                <w:p w14:paraId="0B19B46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新建</w:t>
                  </w:r>
                </w:p>
              </w:tc>
            </w:tr>
            <w:tr w14:paraId="05D984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7" w:type="pct"/>
                  <w:gridSpan w:val="2"/>
                  <w:vMerge w:val="continue"/>
                  <w:tcBorders>
                    <w:tl2br w:val="nil"/>
                    <w:tr2bl w:val="nil"/>
                  </w:tcBorders>
                  <w:noWrap w:val="0"/>
                  <w:tcMar>
                    <w:top w:w="15" w:type="dxa"/>
                    <w:left w:w="15" w:type="dxa"/>
                    <w:right w:w="15" w:type="dxa"/>
                  </w:tcMar>
                  <w:vAlign w:val="center"/>
                </w:tcPr>
                <w:p w14:paraId="7F98832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p>
              </w:tc>
              <w:tc>
                <w:tcPr>
                  <w:tcW w:w="613" w:type="pct"/>
                  <w:gridSpan w:val="2"/>
                  <w:tcBorders>
                    <w:tl2br w:val="nil"/>
                    <w:tr2bl w:val="nil"/>
                  </w:tcBorders>
                  <w:noWrap w:val="0"/>
                  <w:tcMar>
                    <w:top w:w="15" w:type="dxa"/>
                    <w:left w:w="15" w:type="dxa"/>
                    <w:right w:w="15" w:type="dxa"/>
                  </w:tcMar>
                  <w:vAlign w:val="center"/>
                </w:tcPr>
                <w:p w14:paraId="5231B85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生活污水</w:t>
                  </w:r>
                </w:p>
              </w:tc>
              <w:tc>
                <w:tcPr>
                  <w:tcW w:w="2910" w:type="pct"/>
                  <w:tcBorders>
                    <w:tl2br w:val="nil"/>
                    <w:tr2bl w:val="nil"/>
                  </w:tcBorders>
                  <w:noWrap w:val="0"/>
                  <w:tcMar>
                    <w:top w:w="15" w:type="dxa"/>
                    <w:left w:w="15" w:type="dxa"/>
                    <w:right w:w="15" w:type="dxa"/>
                  </w:tcMar>
                  <w:vAlign w:val="center"/>
                </w:tcPr>
                <w:p w14:paraId="0452755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eastAsia="zh-CN"/>
                    </w:rPr>
                    <w:t>经</w:t>
                  </w:r>
                  <w:r>
                    <w:rPr>
                      <w:rFonts w:hint="default" w:ascii="Times New Roman" w:hAnsi="Times New Roman" w:eastAsia="宋体" w:cs="Times New Roman"/>
                      <w:color w:val="000000"/>
                      <w:sz w:val="21"/>
                      <w:szCs w:val="21"/>
                      <w:highlight w:val="none"/>
                      <w:lang w:eastAsia="zh-CN"/>
                    </w:rPr>
                    <w:t>化粪池</w:t>
                  </w:r>
                  <w:r>
                    <w:rPr>
                      <w:rFonts w:hint="eastAsia" w:ascii="Times New Roman" w:hAnsi="Times New Roman" w:eastAsia="宋体" w:cs="Times New Roman"/>
                      <w:color w:val="000000"/>
                      <w:sz w:val="21"/>
                      <w:szCs w:val="21"/>
                      <w:highlight w:val="none"/>
                      <w:lang w:eastAsia="zh-CN"/>
                    </w:rPr>
                    <w:t>处理后排入市政管网</w:t>
                  </w:r>
                </w:p>
              </w:tc>
              <w:tc>
                <w:tcPr>
                  <w:tcW w:w="758" w:type="pct"/>
                  <w:tcBorders>
                    <w:tl2br w:val="nil"/>
                    <w:tr2bl w:val="nil"/>
                  </w:tcBorders>
                  <w:noWrap w:val="0"/>
                  <w:tcMar>
                    <w:top w:w="15" w:type="dxa"/>
                    <w:left w:w="15" w:type="dxa"/>
                    <w:right w:w="15" w:type="dxa"/>
                  </w:tcMar>
                  <w:vAlign w:val="center"/>
                </w:tcPr>
                <w:p w14:paraId="52C2509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依托出租方</w:t>
                  </w:r>
                </w:p>
              </w:tc>
            </w:tr>
            <w:tr w14:paraId="4D06A2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7" w:type="pct"/>
                  <w:gridSpan w:val="2"/>
                  <w:vMerge w:val="continue"/>
                  <w:tcBorders>
                    <w:tl2br w:val="nil"/>
                    <w:tr2bl w:val="nil"/>
                  </w:tcBorders>
                  <w:noWrap w:val="0"/>
                  <w:tcMar>
                    <w:top w:w="15" w:type="dxa"/>
                    <w:left w:w="15" w:type="dxa"/>
                    <w:right w:w="15" w:type="dxa"/>
                  </w:tcMar>
                  <w:vAlign w:val="center"/>
                </w:tcPr>
                <w:p w14:paraId="3CA8963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p>
              </w:tc>
              <w:tc>
                <w:tcPr>
                  <w:tcW w:w="613" w:type="pct"/>
                  <w:gridSpan w:val="2"/>
                  <w:tcBorders>
                    <w:tl2br w:val="nil"/>
                    <w:tr2bl w:val="nil"/>
                  </w:tcBorders>
                  <w:noWrap w:val="0"/>
                  <w:tcMar>
                    <w:top w:w="15" w:type="dxa"/>
                    <w:left w:w="15" w:type="dxa"/>
                    <w:right w:w="15" w:type="dxa"/>
                  </w:tcMar>
                  <w:vAlign w:val="center"/>
                </w:tcPr>
                <w:p w14:paraId="5506ED3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生产废水</w:t>
                  </w:r>
                </w:p>
              </w:tc>
              <w:tc>
                <w:tcPr>
                  <w:tcW w:w="2910" w:type="pct"/>
                  <w:tcBorders>
                    <w:tl2br w:val="nil"/>
                    <w:tr2bl w:val="nil"/>
                  </w:tcBorders>
                  <w:noWrap w:val="0"/>
                  <w:tcMar>
                    <w:top w:w="15" w:type="dxa"/>
                    <w:left w:w="15" w:type="dxa"/>
                    <w:right w:w="15" w:type="dxa"/>
                  </w:tcMar>
                  <w:vAlign w:val="center"/>
                </w:tcPr>
                <w:p w14:paraId="17CAD48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冲版废水</w:t>
                  </w:r>
                  <w:r>
                    <w:rPr>
                      <w:rFonts w:hint="eastAsia"/>
                      <w:highlight w:val="none"/>
                      <w:lang w:eastAsia="zh-CN"/>
                    </w:rPr>
                    <w:t>和清洗废水</w:t>
                  </w:r>
                  <w:r>
                    <w:rPr>
                      <w:rFonts w:hint="eastAsia" w:ascii="Times New Roman" w:hAnsi="Times New Roman" w:eastAsia="宋体" w:cs="Times New Roman"/>
                      <w:color w:val="000000"/>
                      <w:sz w:val="21"/>
                      <w:szCs w:val="21"/>
                      <w:highlight w:val="none"/>
                      <w:lang w:eastAsia="zh-CN"/>
                    </w:rPr>
                    <w:t>经废水处理设施处理后排入市政管网</w:t>
                  </w:r>
                </w:p>
              </w:tc>
              <w:tc>
                <w:tcPr>
                  <w:tcW w:w="758" w:type="pct"/>
                  <w:tcBorders>
                    <w:tl2br w:val="nil"/>
                    <w:tr2bl w:val="nil"/>
                  </w:tcBorders>
                  <w:noWrap w:val="0"/>
                  <w:tcMar>
                    <w:top w:w="15" w:type="dxa"/>
                    <w:left w:w="15" w:type="dxa"/>
                    <w:right w:w="15" w:type="dxa"/>
                  </w:tcMar>
                  <w:vAlign w:val="center"/>
                </w:tcPr>
                <w:p w14:paraId="32A8527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7D4730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7" w:type="pct"/>
                  <w:gridSpan w:val="2"/>
                  <w:vMerge w:val="continue"/>
                  <w:tcBorders>
                    <w:tl2br w:val="nil"/>
                    <w:tr2bl w:val="nil"/>
                  </w:tcBorders>
                  <w:noWrap w:val="0"/>
                  <w:tcMar>
                    <w:top w:w="15" w:type="dxa"/>
                    <w:left w:w="15" w:type="dxa"/>
                    <w:right w:w="15" w:type="dxa"/>
                  </w:tcMar>
                  <w:vAlign w:val="center"/>
                </w:tcPr>
                <w:p w14:paraId="36A74B9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p>
              </w:tc>
              <w:tc>
                <w:tcPr>
                  <w:tcW w:w="613" w:type="pct"/>
                  <w:gridSpan w:val="2"/>
                  <w:tcBorders>
                    <w:tl2br w:val="nil"/>
                    <w:tr2bl w:val="nil"/>
                  </w:tcBorders>
                  <w:noWrap w:val="0"/>
                  <w:tcMar>
                    <w:top w:w="15" w:type="dxa"/>
                    <w:left w:w="15" w:type="dxa"/>
                    <w:right w:w="15" w:type="dxa"/>
                  </w:tcMar>
                  <w:vAlign w:val="center"/>
                </w:tcPr>
                <w:p w14:paraId="3F401F9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噪声</w:t>
                  </w:r>
                </w:p>
              </w:tc>
              <w:tc>
                <w:tcPr>
                  <w:tcW w:w="2910" w:type="pct"/>
                  <w:tcBorders>
                    <w:tl2br w:val="nil"/>
                    <w:tr2bl w:val="nil"/>
                  </w:tcBorders>
                  <w:noWrap w:val="0"/>
                  <w:tcMar>
                    <w:top w:w="15" w:type="dxa"/>
                    <w:left w:w="15" w:type="dxa"/>
                    <w:right w:w="15" w:type="dxa"/>
                  </w:tcMar>
                  <w:vAlign w:val="center"/>
                </w:tcPr>
                <w:p w14:paraId="5E6BEB8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减振、隔声</w:t>
                  </w:r>
                </w:p>
              </w:tc>
              <w:tc>
                <w:tcPr>
                  <w:tcW w:w="758" w:type="pct"/>
                  <w:tcBorders>
                    <w:tl2br w:val="nil"/>
                    <w:tr2bl w:val="nil"/>
                  </w:tcBorders>
                  <w:noWrap w:val="0"/>
                  <w:tcMar>
                    <w:top w:w="15" w:type="dxa"/>
                    <w:left w:w="15" w:type="dxa"/>
                    <w:right w:w="15" w:type="dxa"/>
                  </w:tcMar>
                  <w:vAlign w:val="center"/>
                </w:tcPr>
                <w:p w14:paraId="7617C6A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新建</w:t>
                  </w:r>
                </w:p>
              </w:tc>
            </w:tr>
            <w:tr w14:paraId="59A23E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7" w:type="pct"/>
                  <w:gridSpan w:val="2"/>
                  <w:vMerge w:val="continue"/>
                  <w:tcBorders>
                    <w:tl2br w:val="nil"/>
                    <w:tr2bl w:val="nil"/>
                  </w:tcBorders>
                  <w:noWrap w:val="0"/>
                  <w:tcMar>
                    <w:top w:w="15" w:type="dxa"/>
                    <w:left w:w="15" w:type="dxa"/>
                    <w:right w:w="15" w:type="dxa"/>
                  </w:tcMar>
                  <w:vAlign w:val="center"/>
                </w:tcPr>
                <w:p w14:paraId="2AD8B20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p>
              </w:tc>
              <w:tc>
                <w:tcPr>
                  <w:tcW w:w="306" w:type="pct"/>
                  <w:vMerge w:val="restart"/>
                  <w:tcBorders>
                    <w:tl2br w:val="nil"/>
                    <w:tr2bl w:val="nil"/>
                  </w:tcBorders>
                  <w:noWrap w:val="0"/>
                  <w:tcMar>
                    <w:top w:w="15" w:type="dxa"/>
                    <w:left w:w="15" w:type="dxa"/>
                    <w:right w:w="15" w:type="dxa"/>
                  </w:tcMar>
                  <w:vAlign w:val="center"/>
                </w:tcPr>
                <w:p w14:paraId="52C0879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固废</w:t>
                  </w:r>
                </w:p>
              </w:tc>
              <w:tc>
                <w:tcPr>
                  <w:tcW w:w="306" w:type="pct"/>
                  <w:tcBorders>
                    <w:tl2br w:val="nil"/>
                    <w:tr2bl w:val="nil"/>
                  </w:tcBorders>
                  <w:noWrap w:val="0"/>
                  <w:tcMar>
                    <w:top w:w="15" w:type="dxa"/>
                    <w:left w:w="15" w:type="dxa"/>
                    <w:right w:w="15" w:type="dxa"/>
                  </w:tcMar>
                  <w:vAlign w:val="center"/>
                </w:tcPr>
                <w:p w14:paraId="2D8A7F6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一般固废</w:t>
                  </w:r>
                </w:p>
              </w:tc>
              <w:tc>
                <w:tcPr>
                  <w:tcW w:w="2910" w:type="pct"/>
                  <w:tcBorders>
                    <w:tl2br w:val="nil"/>
                    <w:tr2bl w:val="nil"/>
                  </w:tcBorders>
                  <w:noWrap w:val="0"/>
                  <w:tcMar>
                    <w:top w:w="15" w:type="dxa"/>
                    <w:left w:w="15" w:type="dxa"/>
                    <w:right w:w="15" w:type="dxa"/>
                  </w:tcMar>
                  <w:vAlign w:val="center"/>
                </w:tcPr>
                <w:p w14:paraId="4E4F6F5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设置一般固废暂存区</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eastAsia="zh-CN"/>
                    </w:rPr>
                    <w:t>位于</w:t>
                  </w:r>
                  <w:r>
                    <w:rPr>
                      <w:rFonts w:hint="eastAsia" w:cs="Times New Roman"/>
                      <w:color w:val="000000"/>
                      <w:sz w:val="21"/>
                      <w:szCs w:val="21"/>
                      <w:highlight w:val="none"/>
                      <w:lang w:val="en-US" w:eastAsia="zh-CN"/>
                    </w:rPr>
                    <w:t>厂房1F东北</w:t>
                  </w:r>
                  <w:r>
                    <w:rPr>
                      <w:rFonts w:hint="default" w:ascii="Times New Roman" w:hAnsi="Times New Roman" w:eastAsia="宋体" w:cs="Times New Roman"/>
                      <w:color w:val="000000"/>
                      <w:sz w:val="21"/>
                      <w:szCs w:val="21"/>
                      <w:highlight w:val="none"/>
                      <w:lang w:val="en-US" w:eastAsia="zh-CN"/>
                    </w:rPr>
                    <w:t>侧，面积约为</w:t>
                  </w:r>
                  <w:r>
                    <w:rPr>
                      <w:rFonts w:hint="eastAsia" w:cs="Times New Roman"/>
                      <w:color w:val="000000"/>
                      <w:sz w:val="21"/>
                      <w:szCs w:val="21"/>
                      <w:highlight w:val="none"/>
                      <w:lang w:val="en-US" w:eastAsia="zh-CN"/>
                    </w:rPr>
                    <w:t>15</w:t>
                  </w:r>
                  <w:r>
                    <w:rPr>
                      <w:rFonts w:hint="default" w:ascii="Times New Roman" w:hAnsi="Times New Roman" w:eastAsia="宋体" w:cs="Times New Roman"/>
                      <w:color w:val="000000"/>
                      <w:sz w:val="21"/>
                      <w:szCs w:val="21"/>
                      <w:highlight w:val="none"/>
                      <w:lang w:val="en-US" w:eastAsia="zh-CN"/>
                    </w:rPr>
                    <w:t>m</w:t>
                  </w:r>
                  <w:r>
                    <w:rPr>
                      <w:rFonts w:hint="default"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vertAlign w:val="baseline"/>
                      <w:lang w:val="en-US" w:eastAsia="zh-CN"/>
                    </w:rPr>
                    <w:t>。</w:t>
                  </w:r>
                </w:p>
              </w:tc>
              <w:tc>
                <w:tcPr>
                  <w:tcW w:w="758" w:type="pct"/>
                  <w:vMerge w:val="restart"/>
                  <w:tcBorders>
                    <w:tl2br w:val="nil"/>
                    <w:tr2bl w:val="nil"/>
                  </w:tcBorders>
                  <w:noWrap w:val="0"/>
                  <w:tcMar>
                    <w:top w:w="15" w:type="dxa"/>
                    <w:left w:w="15" w:type="dxa"/>
                    <w:right w:w="15" w:type="dxa"/>
                  </w:tcMar>
                  <w:vAlign w:val="center"/>
                </w:tcPr>
                <w:p w14:paraId="630AF30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eastAsia" w:cs="Times New Roman"/>
                      <w:color w:val="000000"/>
                      <w:sz w:val="21"/>
                      <w:szCs w:val="21"/>
                      <w:highlight w:val="none"/>
                      <w:lang w:eastAsia="zh-CN"/>
                    </w:rPr>
                    <w:t>依托原有</w:t>
                  </w:r>
                </w:p>
              </w:tc>
            </w:tr>
            <w:tr w14:paraId="6310D8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7" w:type="pct"/>
                  <w:gridSpan w:val="2"/>
                  <w:vMerge w:val="continue"/>
                  <w:tcBorders>
                    <w:tl2br w:val="nil"/>
                    <w:tr2bl w:val="nil"/>
                  </w:tcBorders>
                  <w:noWrap w:val="0"/>
                  <w:tcMar>
                    <w:top w:w="15" w:type="dxa"/>
                    <w:left w:w="15" w:type="dxa"/>
                    <w:right w:w="15" w:type="dxa"/>
                  </w:tcMar>
                  <w:vAlign w:val="center"/>
                </w:tcPr>
                <w:p w14:paraId="714397C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bookmarkStart w:id="3" w:name="_Toc16790"/>
                </w:p>
              </w:tc>
              <w:tc>
                <w:tcPr>
                  <w:tcW w:w="306" w:type="pct"/>
                  <w:vMerge w:val="continue"/>
                  <w:tcBorders>
                    <w:tl2br w:val="nil"/>
                    <w:tr2bl w:val="nil"/>
                  </w:tcBorders>
                  <w:noWrap w:val="0"/>
                  <w:tcMar>
                    <w:top w:w="15" w:type="dxa"/>
                    <w:left w:w="15" w:type="dxa"/>
                    <w:right w:w="15" w:type="dxa"/>
                  </w:tcMar>
                  <w:vAlign w:val="center"/>
                </w:tcPr>
                <w:p w14:paraId="5FCAE8E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p>
              </w:tc>
              <w:tc>
                <w:tcPr>
                  <w:tcW w:w="306" w:type="pct"/>
                  <w:tcBorders>
                    <w:tl2br w:val="nil"/>
                    <w:tr2bl w:val="nil"/>
                  </w:tcBorders>
                  <w:noWrap w:val="0"/>
                  <w:tcMar>
                    <w:top w:w="15" w:type="dxa"/>
                    <w:left w:w="15" w:type="dxa"/>
                    <w:right w:w="15" w:type="dxa"/>
                  </w:tcMar>
                  <w:vAlign w:val="center"/>
                </w:tcPr>
                <w:p w14:paraId="4AD1CAA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危险废物</w:t>
                  </w:r>
                </w:p>
              </w:tc>
              <w:tc>
                <w:tcPr>
                  <w:tcW w:w="2910" w:type="pct"/>
                  <w:tcBorders>
                    <w:tl2br w:val="nil"/>
                    <w:tr2bl w:val="nil"/>
                  </w:tcBorders>
                  <w:noWrap w:val="0"/>
                  <w:tcMar>
                    <w:top w:w="15" w:type="dxa"/>
                    <w:left w:w="15" w:type="dxa"/>
                    <w:right w:w="15" w:type="dxa"/>
                  </w:tcMar>
                  <w:vAlign w:val="center"/>
                </w:tcPr>
                <w:p w14:paraId="1483895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设置危废暂存间，</w:t>
                  </w:r>
                  <w:r>
                    <w:rPr>
                      <w:rFonts w:hint="default" w:ascii="Times New Roman" w:hAnsi="Times New Roman" w:eastAsia="宋体" w:cs="Times New Roman"/>
                      <w:color w:val="000000"/>
                      <w:sz w:val="21"/>
                      <w:szCs w:val="21"/>
                      <w:highlight w:val="none"/>
                      <w:lang w:eastAsia="zh-CN"/>
                    </w:rPr>
                    <w:t>位于</w:t>
                  </w:r>
                  <w:r>
                    <w:rPr>
                      <w:rFonts w:hint="eastAsia" w:cs="Times New Roman"/>
                      <w:color w:val="000000"/>
                      <w:sz w:val="21"/>
                      <w:szCs w:val="21"/>
                      <w:highlight w:val="none"/>
                      <w:lang w:val="en-US" w:eastAsia="zh-CN"/>
                    </w:rPr>
                    <w:t>厂房1F东北</w:t>
                  </w:r>
                  <w:r>
                    <w:rPr>
                      <w:rFonts w:hint="default" w:ascii="Times New Roman" w:hAnsi="Times New Roman" w:eastAsia="宋体" w:cs="Times New Roman"/>
                      <w:color w:val="000000"/>
                      <w:sz w:val="21"/>
                      <w:szCs w:val="21"/>
                      <w:highlight w:val="none"/>
                      <w:lang w:val="en-US" w:eastAsia="zh-CN"/>
                    </w:rPr>
                    <w:t>侧</w:t>
                  </w: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面积约为</w:t>
                  </w:r>
                  <w:r>
                    <w:rPr>
                      <w:rFonts w:hint="eastAsia" w:cs="Times New Roman"/>
                      <w:color w:val="000000"/>
                      <w:sz w:val="21"/>
                      <w:szCs w:val="21"/>
                      <w:highlight w:val="none"/>
                      <w:lang w:val="en-US" w:eastAsia="zh-CN"/>
                    </w:rPr>
                    <w:t>15</w:t>
                  </w:r>
                  <w:r>
                    <w:rPr>
                      <w:rFonts w:hint="default" w:ascii="Times New Roman" w:hAnsi="Times New Roman" w:eastAsia="宋体" w:cs="Times New Roman"/>
                      <w:color w:val="000000"/>
                      <w:sz w:val="21"/>
                      <w:szCs w:val="21"/>
                      <w:highlight w:val="none"/>
                      <w:lang w:val="en-US" w:eastAsia="zh-CN"/>
                    </w:rPr>
                    <w:t>m</w:t>
                  </w:r>
                  <w:r>
                    <w:rPr>
                      <w:rFonts w:hint="default"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vertAlign w:val="baseline"/>
                      <w:lang w:val="en-US" w:eastAsia="zh-CN"/>
                    </w:rPr>
                    <w:t>。</w:t>
                  </w:r>
                </w:p>
              </w:tc>
              <w:tc>
                <w:tcPr>
                  <w:tcW w:w="758" w:type="pct"/>
                  <w:vMerge w:val="continue"/>
                  <w:tcBorders>
                    <w:tl2br w:val="nil"/>
                    <w:tr2bl w:val="nil"/>
                  </w:tcBorders>
                  <w:noWrap w:val="0"/>
                  <w:tcMar>
                    <w:top w:w="15" w:type="dxa"/>
                    <w:left w:w="15" w:type="dxa"/>
                    <w:right w:w="15" w:type="dxa"/>
                  </w:tcMar>
                  <w:vAlign w:val="center"/>
                </w:tcPr>
                <w:p w14:paraId="02198DB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p>
              </w:tc>
            </w:tr>
          </w:tbl>
          <w:p w14:paraId="164F7BEC">
            <w:pPr>
              <w:pStyle w:val="56"/>
              <w:keepNext w:val="0"/>
              <w:keepLines w:val="0"/>
              <w:pageBreakBefore w:val="0"/>
              <w:widowControl w:val="0"/>
              <w:kinsoku/>
              <w:wordWrap/>
              <w:overflowPunct/>
              <w:topLinePunct w:val="0"/>
              <w:autoSpaceDE/>
              <w:autoSpaceDN/>
              <w:bidi w:val="0"/>
              <w:adjustRightInd w:val="0"/>
              <w:snapToGrid w:val="0"/>
              <w:spacing w:before="157" w:beforeLines="50" w:after="0" w:afterLines="0" w:line="360" w:lineRule="auto"/>
              <w:textAlignment w:val="auto"/>
              <w:outlineLvl w:val="9"/>
              <w:rPr>
                <w:rFonts w:hint="default" w:ascii="Times New Roman" w:hAnsi="Times New Roman" w:eastAsia="宋体" w:cs="Times New Roman"/>
                <w:color w:val="000000"/>
                <w:highlight w:val="none"/>
                <w:lang w:val="en-US"/>
              </w:rPr>
            </w:pPr>
            <w:r>
              <w:rPr>
                <w:rFonts w:hint="default"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rPr>
              <w:t>.</w:t>
            </w:r>
            <w:r>
              <w:rPr>
                <w:rFonts w:hint="default" w:ascii="Times New Roman" w:hAnsi="Times New Roman" w:eastAsia="宋体" w:cs="Times New Roman"/>
                <w:color w:val="000000"/>
                <w:highlight w:val="none"/>
                <w:lang w:val="en-US" w:eastAsia="zh-CN"/>
              </w:rPr>
              <w:t>3主要产品及产能</w:t>
            </w:r>
            <w:bookmarkEnd w:id="3"/>
          </w:p>
          <w:p w14:paraId="2E75137F">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8" w:firstLineChars="200"/>
              <w:textAlignment w:val="auto"/>
              <w:outlineLvl w:val="9"/>
              <w:rPr>
                <w:rFonts w:hint="default" w:ascii="Times New Roman" w:hAnsi="Times New Roman" w:eastAsia="宋体" w:cs="Times New Roman"/>
                <w:b w:val="0"/>
                <w:bCs/>
                <w:color w:val="000000"/>
                <w:spacing w:val="2"/>
                <w:sz w:val="24"/>
                <w:szCs w:val="24"/>
                <w:highlight w:val="none"/>
                <w:vertAlign w:val="baseline"/>
                <w:lang w:val="en-US" w:eastAsia="zh-CN"/>
              </w:rPr>
            </w:pPr>
            <w:bookmarkStart w:id="4" w:name="_Toc17709"/>
            <w:r>
              <w:rPr>
                <w:rFonts w:hint="default" w:ascii="Times New Roman" w:hAnsi="Times New Roman" w:eastAsia="宋体" w:cs="Times New Roman"/>
                <w:b w:val="0"/>
                <w:bCs/>
                <w:color w:val="000000"/>
                <w:spacing w:val="2"/>
                <w:sz w:val="24"/>
                <w:szCs w:val="24"/>
                <w:highlight w:val="none"/>
                <w:vertAlign w:val="baseline"/>
                <w:lang w:val="en-US" w:eastAsia="zh-CN"/>
              </w:rPr>
              <w:t>本项目主要从</w:t>
            </w:r>
            <w:r>
              <w:rPr>
                <w:rFonts w:hint="eastAsia" w:ascii="Times New Roman" w:hAnsi="Times New Roman" w:eastAsia="宋体" w:cs="Times New Roman"/>
                <w:b w:val="0"/>
                <w:bCs/>
                <w:color w:val="000000"/>
                <w:spacing w:val="2"/>
                <w:sz w:val="24"/>
                <w:szCs w:val="24"/>
                <w:highlight w:val="none"/>
                <w:vertAlign w:val="baseline"/>
                <w:lang w:val="en-US" w:eastAsia="zh-CN"/>
              </w:rPr>
              <w:t>事布料的丝印加工</w:t>
            </w:r>
            <w:r>
              <w:rPr>
                <w:rFonts w:hint="default" w:ascii="Times New Roman" w:hAnsi="Times New Roman" w:eastAsia="宋体" w:cs="Times New Roman"/>
                <w:b w:val="0"/>
                <w:bCs/>
                <w:color w:val="000000"/>
                <w:spacing w:val="2"/>
                <w:sz w:val="24"/>
                <w:szCs w:val="24"/>
                <w:highlight w:val="none"/>
                <w:vertAlign w:val="baseline"/>
                <w:lang w:val="en-US" w:eastAsia="zh-CN"/>
              </w:rPr>
              <w:t>，预计投产后</w:t>
            </w:r>
            <w:r>
              <w:rPr>
                <w:rFonts w:hint="default" w:ascii="Times New Roman" w:hAnsi="Times New Roman" w:eastAsia="宋体" w:cs="Times New Roman"/>
                <w:b w:val="0"/>
                <w:bCs/>
                <w:color w:val="000000"/>
                <w:kern w:val="0"/>
                <w:sz w:val="24"/>
                <w:szCs w:val="24"/>
                <w:highlight w:val="none"/>
                <w:lang w:eastAsia="zh-CN"/>
              </w:rPr>
              <w:t>年产</w:t>
            </w:r>
            <w:r>
              <w:rPr>
                <w:rFonts w:hint="eastAsia" w:ascii="Times New Roman" w:hAnsi="Times New Roman" w:eastAsia="宋体" w:cs="Times New Roman"/>
                <w:b w:val="0"/>
                <w:bCs/>
                <w:color w:val="000000"/>
                <w:kern w:val="0"/>
                <w:sz w:val="24"/>
                <w:szCs w:val="24"/>
                <w:highlight w:val="none"/>
                <w:lang w:val="en-US" w:eastAsia="zh-CN"/>
              </w:rPr>
              <w:t>服装20万件、印花片130万片、印花布50万米</w:t>
            </w:r>
            <w:r>
              <w:rPr>
                <w:rFonts w:hint="default" w:ascii="Times New Roman" w:hAnsi="Times New Roman" w:eastAsia="宋体" w:cs="Times New Roman"/>
                <w:b w:val="0"/>
                <w:bCs/>
                <w:color w:val="000000"/>
                <w:spacing w:val="2"/>
                <w:sz w:val="24"/>
                <w:szCs w:val="24"/>
                <w:highlight w:val="none"/>
                <w:vertAlign w:val="baseline"/>
                <w:lang w:val="en-US" w:eastAsia="zh-CN"/>
              </w:rPr>
              <w:t>。</w:t>
            </w:r>
            <w:bookmarkEnd w:id="4"/>
          </w:p>
          <w:p w14:paraId="5006E876">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9"/>
              <w:rPr>
                <w:rFonts w:hint="default" w:ascii="Times New Roman" w:hAnsi="Times New Roman" w:eastAsia="宋体" w:cs="Times New Roman"/>
                <w:color w:val="000000"/>
                <w:highlight w:val="none"/>
                <w:lang w:val="en-US"/>
              </w:rPr>
            </w:pPr>
            <w:bookmarkStart w:id="5" w:name="_Toc6929"/>
            <w:r>
              <w:rPr>
                <w:rFonts w:hint="default"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rPr>
              <w:t>.</w:t>
            </w:r>
            <w:r>
              <w:rPr>
                <w:rFonts w:hint="default" w:ascii="Times New Roman" w:hAnsi="Times New Roman" w:eastAsia="宋体" w:cs="Times New Roman"/>
                <w:color w:val="000000"/>
                <w:highlight w:val="none"/>
                <w:lang w:val="en-US" w:eastAsia="zh-CN"/>
              </w:rPr>
              <w:t>4劳动定员及工作制度</w:t>
            </w:r>
            <w:bookmarkEnd w:id="5"/>
          </w:p>
          <w:p w14:paraId="3CD81C30">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8" w:firstLineChars="200"/>
              <w:textAlignment w:val="auto"/>
              <w:outlineLvl w:val="1"/>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b w:val="0"/>
                <w:color w:val="000000"/>
                <w:spacing w:val="2"/>
                <w:sz w:val="24"/>
                <w:szCs w:val="24"/>
                <w:highlight w:val="none"/>
                <w:lang w:val="en-US" w:eastAsia="zh-CN"/>
              </w:rPr>
              <w:t>项目职工定员</w:t>
            </w:r>
            <w:r>
              <w:rPr>
                <w:rFonts w:hint="eastAsia" w:ascii="Times New Roman" w:hAnsi="Times New Roman" w:cs="Times New Roman"/>
                <w:b w:val="0"/>
                <w:color w:val="000000"/>
                <w:spacing w:val="2"/>
                <w:sz w:val="24"/>
                <w:szCs w:val="24"/>
                <w:highlight w:val="none"/>
                <w:lang w:val="en-US" w:eastAsia="zh-CN"/>
              </w:rPr>
              <w:t>60</w:t>
            </w:r>
            <w:r>
              <w:rPr>
                <w:rFonts w:hint="default" w:ascii="Times New Roman" w:hAnsi="Times New Roman" w:eastAsia="宋体" w:cs="Times New Roman"/>
                <w:b w:val="0"/>
                <w:color w:val="000000"/>
                <w:spacing w:val="2"/>
                <w:sz w:val="24"/>
                <w:szCs w:val="24"/>
                <w:highlight w:val="none"/>
                <w:lang w:val="en-US" w:eastAsia="zh-CN"/>
              </w:rPr>
              <w:t>人，</w:t>
            </w:r>
            <w:r>
              <w:rPr>
                <w:rFonts w:hint="default" w:ascii="Times New Roman" w:hAnsi="Times New Roman" w:eastAsia="宋体" w:cs="Times New Roman"/>
                <w:b w:val="0"/>
                <w:bCs w:val="0"/>
                <w:color w:val="000000"/>
                <w:spacing w:val="2"/>
                <w:kern w:val="2"/>
                <w:sz w:val="24"/>
                <w:szCs w:val="24"/>
                <w:highlight w:val="none"/>
                <w:vertAlign w:val="baseline"/>
                <w:lang w:val="en-US" w:eastAsia="zh-CN"/>
              </w:rPr>
              <w:t>年工作300d，日工作</w:t>
            </w:r>
            <w:r>
              <w:rPr>
                <w:rFonts w:hint="eastAsia" w:ascii="Times New Roman" w:hAnsi="Times New Roman" w:eastAsia="宋体" w:cs="Times New Roman"/>
                <w:b w:val="0"/>
                <w:bCs w:val="0"/>
                <w:color w:val="000000"/>
                <w:spacing w:val="2"/>
                <w:kern w:val="2"/>
                <w:sz w:val="24"/>
                <w:szCs w:val="24"/>
                <w:highlight w:val="none"/>
                <w:vertAlign w:val="baseline"/>
                <w:lang w:val="en-US" w:eastAsia="zh-CN"/>
              </w:rPr>
              <w:t>12</w:t>
            </w:r>
            <w:r>
              <w:rPr>
                <w:rFonts w:hint="default" w:ascii="Times New Roman" w:hAnsi="Times New Roman" w:eastAsia="宋体" w:cs="Times New Roman"/>
                <w:b w:val="0"/>
                <w:bCs w:val="0"/>
                <w:color w:val="000000"/>
                <w:spacing w:val="2"/>
                <w:kern w:val="2"/>
                <w:sz w:val="24"/>
                <w:szCs w:val="24"/>
                <w:highlight w:val="none"/>
                <w:vertAlign w:val="baseline"/>
                <w:lang w:val="en-US" w:eastAsia="zh-CN"/>
              </w:rPr>
              <w:t>h</w:t>
            </w:r>
            <w:r>
              <w:rPr>
                <w:rFonts w:hint="eastAsia" w:ascii="Times New Roman" w:hAnsi="Times New Roman" w:eastAsia="宋体" w:cs="Times New Roman"/>
                <w:b w:val="0"/>
                <w:bCs w:val="0"/>
                <w:color w:val="000000"/>
                <w:spacing w:val="2"/>
                <w:kern w:val="2"/>
                <w:sz w:val="24"/>
                <w:szCs w:val="24"/>
                <w:highlight w:val="none"/>
                <w:vertAlign w:val="baseline"/>
                <w:lang w:val="en-US" w:eastAsia="zh-CN"/>
              </w:rPr>
              <w:t>（夜间不生产）</w:t>
            </w:r>
            <w:r>
              <w:rPr>
                <w:rFonts w:hint="default" w:ascii="Times New Roman" w:hAnsi="Times New Roman" w:eastAsia="宋体" w:cs="Times New Roman"/>
                <w:b w:val="0"/>
                <w:bCs w:val="0"/>
                <w:color w:val="000000"/>
                <w:spacing w:val="2"/>
                <w:kern w:val="2"/>
                <w:sz w:val="24"/>
                <w:szCs w:val="24"/>
                <w:highlight w:val="none"/>
                <w:vertAlign w:val="baseline"/>
                <w:lang w:val="en-US" w:eastAsia="zh-CN"/>
              </w:rPr>
              <w:t>。</w:t>
            </w:r>
          </w:p>
          <w:p w14:paraId="562662D4">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1"/>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rPr>
              <w:t>.</w:t>
            </w:r>
            <w:r>
              <w:rPr>
                <w:rFonts w:hint="eastAsia" w:ascii="Times New Roman" w:hAnsi="Times New Roman" w:eastAsia="宋体" w:cs="Times New Roman"/>
                <w:color w:val="000000"/>
                <w:highlight w:val="none"/>
                <w:lang w:val="en-US" w:eastAsia="zh-CN"/>
              </w:rPr>
              <w:t>5</w:t>
            </w:r>
            <w:r>
              <w:rPr>
                <w:rFonts w:hint="default" w:ascii="Times New Roman" w:hAnsi="Times New Roman" w:eastAsia="宋体" w:cs="Times New Roman"/>
                <w:color w:val="000000"/>
                <w:highlight w:val="none"/>
              </w:rPr>
              <w:t>主要生产设备</w:t>
            </w:r>
          </w:p>
          <w:p w14:paraId="2C793317">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eastAsia="zh-CN"/>
              </w:rPr>
              <w:t>本</w:t>
            </w:r>
            <w:r>
              <w:rPr>
                <w:rFonts w:hint="default" w:ascii="Times New Roman" w:hAnsi="Times New Roman" w:eastAsia="宋体" w:cs="Times New Roman"/>
                <w:color w:val="000000"/>
                <w:sz w:val="24"/>
                <w:szCs w:val="24"/>
                <w:highlight w:val="none"/>
              </w:rPr>
              <w:t>项目</w:t>
            </w:r>
            <w:r>
              <w:rPr>
                <w:rFonts w:hint="eastAsia" w:cs="Times New Roman"/>
                <w:color w:val="000000"/>
                <w:sz w:val="24"/>
                <w:szCs w:val="24"/>
                <w:highlight w:val="none"/>
                <w:lang w:eastAsia="zh-CN"/>
              </w:rPr>
              <w:t>改扩建</w:t>
            </w:r>
            <w:r>
              <w:rPr>
                <w:rFonts w:hint="eastAsia" w:ascii="Times New Roman" w:hAnsi="Times New Roman" w:eastAsia="宋体" w:cs="Times New Roman"/>
                <w:color w:val="000000"/>
                <w:sz w:val="24"/>
                <w:szCs w:val="24"/>
                <w:highlight w:val="none"/>
                <w:lang w:eastAsia="zh-CN"/>
              </w:rPr>
              <w:t>后</w:t>
            </w:r>
            <w:r>
              <w:rPr>
                <w:rFonts w:hint="default" w:ascii="Times New Roman" w:hAnsi="Times New Roman" w:eastAsia="宋体" w:cs="Times New Roman"/>
                <w:color w:val="000000"/>
                <w:sz w:val="24"/>
                <w:szCs w:val="24"/>
                <w:highlight w:val="none"/>
              </w:rPr>
              <w:t>主要生产设备详见表</w:t>
            </w:r>
            <w:r>
              <w:rPr>
                <w:rFonts w:hint="default"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rPr>
              <w:t>。</w:t>
            </w:r>
          </w:p>
          <w:p w14:paraId="0FE3FAAC">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textAlignment w:val="auto"/>
              <w:outlineLvl w:val="9"/>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eastAsia="宋体" w:cs="Times New Roman"/>
                <w:b/>
                <w:color w:val="000000"/>
                <w:sz w:val="24"/>
                <w:szCs w:val="24"/>
                <w:highlight w:val="none"/>
              </w:rPr>
              <w:t>表</w:t>
            </w:r>
            <w:r>
              <w:rPr>
                <w:rFonts w:hint="default" w:ascii="Times New Roman" w:hAnsi="Times New Roman" w:eastAsia="宋体" w:cs="Times New Roman"/>
                <w:b/>
                <w:color w:val="000000"/>
                <w:sz w:val="24"/>
                <w:szCs w:val="24"/>
                <w:highlight w:val="none"/>
                <w:lang w:val="en-US" w:eastAsia="zh-CN"/>
              </w:rPr>
              <w:t>2</w:t>
            </w:r>
            <w:r>
              <w:rPr>
                <w:rFonts w:hint="default" w:ascii="Times New Roman" w:hAnsi="Times New Roman" w:eastAsia="宋体" w:cs="Times New Roman"/>
                <w:b/>
                <w:color w:val="000000"/>
                <w:sz w:val="24"/>
                <w:szCs w:val="24"/>
                <w:highlight w:val="none"/>
              </w:rPr>
              <w:t>-</w:t>
            </w:r>
            <w:r>
              <w:rPr>
                <w:rFonts w:hint="eastAsia" w:ascii="Times New Roman" w:hAnsi="Times New Roman" w:eastAsia="宋体" w:cs="Times New Roman"/>
                <w:b/>
                <w:color w:val="000000"/>
                <w:sz w:val="24"/>
                <w:szCs w:val="24"/>
                <w:highlight w:val="none"/>
                <w:lang w:val="en-US" w:eastAsia="zh-CN"/>
              </w:rPr>
              <w:t>4 本</w:t>
            </w:r>
            <w:r>
              <w:rPr>
                <w:rFonts w:hint="default" w:ascii="Times New Roman" w:hAnsi="Times New Roman" w:eastAsia="宋体" w:cs="Times New Roman"/>
                <w:b/>
                <w:color w:val="000000"/>
                <w:sz w:val="24"/>
                <w:szCs w:val="24"/>
                <w:highlight w:val="none"/>
              </w:rPr>
              <w:t>项目主要生产设备一览表</w:t>
            </w:r>
            <w:r>
              <w:rPr>
                <w:rFonts w:hint="default" w:ascii="Times New Roman" w:hAnsi="Times New Roman" w:eastAsia="宋体" w:cs="Times New Roman"/>
                <w:color w:val="000000"/>
                <w:sz w:val="24"/>
                <w:szCs w:val="24"/>
                <w:highlight w:val="none"/>
                <w:lang w:val="en-US" w:eastAsia="zh-CN"/>
              </w:rPr>
              <w:t xml:space="preserve">  </w:t>
            </w:r>
            <w:r>
              <w:rPr>
                <w:rFonts w:hint="eastAsia" w:ascii="Times New Roman" w:hAnsi="Times New Roman" w:eastAsia="宋体" w:cs="Times New Roman"/>
                <w:b/>
                <w:bCs/>
                <w:color w:val="000000"/>
                <w:sz w:val="24"/>
                <w:szCs w:val="24"/>
                <w:highlight w:val="none"/>
                <w:lang w:val="en-US" w:eastAsia="zh-CN"/>
              </w:rPr>
              <w:t>（单位：台）</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83"/>
              <w:gridCol w:w="2130"/>
              <w:gridCol w:w="1232"/>
              <w:gridCol w:w="1232"/>
              <w:gridCol w:w="1232"/>
              <w:gridCol w:w="1233"/>
            </w:tblGrid>
            <w:tr w14:paraId="4C58A3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5" w:type="pct"/>
                  <w:noWrap w:val="0"/>
                  <w:tcMar>
                    <w:top w:w="15" w:type="dxa"/>
                    <w:left w:w="15" w:type="dxa"/>
                    <w:right w:w="15" w:type="dxa"/>
                  </w:tcMar>
                  <w:vAlign w:val="center"/>
                </w:tcPr>
                <w:p w14:paraId="00AA31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bidi="ar"/>
                    </w:rPr>
                    <w:t>序号</w:t>
                  </w:r>
                </w:p>
              </w:tc>
              <w:tc>
                <w:tcPr>
                  <w:tcW w:w="1340" w:type="pct"/>
                  <w:noWrap w:val="0"/>
                  <w:tcMar>
                    <w:top w:w="15" w:type="dxa"/>
                    <w:left w:w="15" w:type="dxa"/>
                    <w:right w:w="15" w:type="dxa"/>
                  </w:tcMar>
                  <w:vAlign w:val="center"/>
                </w:tcPr>
                <w:p w14:paraId="4EA30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bidi="ar"/>
                    </w:rPr>
                    <w:t>设备名称</w:t>
                  </w:r>
                </w:p>
              </w:tc>
              <w:tc>
                <w:tcPr>
                  <w:tcW w:w="775" w:type="pct"/>
                  <w:noWrap w:val="0"/>
                  <w:tcMar>
                    <w:top w:w="15" w:type="dxa"/>
                    <w:left w:w="15" w:type="dxa"/>
                    <w:right w:w="15" w:type="dxa"/>
                  </w:tcMar>
                  <w:vAlign w:val="center"/>
                </w:tcPr>
                <w:p w14:paraId="6F1841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bidi="ar"/>
                    </w:rPr>
                  </w:pPr>
                  <w:r>
                    <w:rPr>
                      <w:rFonts w:hint="eastAsia" w:cs="Times New Roman"/>
                      <w:color w:val="000000"/>
                      <w:sz w:val="21"/>
                      <w:szCs w:val="21"/>
                      <w:highlight w:val="none"/>
                      <w:lang w:eastAsia="zh-CN" w:bidi="ar"/>
                    </w:rPr>
                    <w:t>改扩建</w:t>
                  </w:r>
                  <w:r>
                    <w:rPr>
                      <w:rFonts w:hint="eastAsia" w:ascii="Times New Roman" w:hAnsi="Times New Roman" w:eastAsia="宋体" w:cs="Times New Roman"/>
                      <w:color w:val="000000"/>
                      <w:sz w:val="21"/>
                      <w:szCs w:val="21"/>
                      <w:highlight w:val="none"/>
                      <w:lang w:eastAsia="zh-CN" w:bidi="ar"/>
                    </w:rPr>
                    <w:t>前</w:t>
                  </w:r>
                </w:p>
              </w:tc>
              <w:tc>
                <w:tcPr>
                  <w:tcW w:w="775" w:type="pct"/>
                  <w:noWrap w:val="0"/>
                  <w:tcMar>
                    <w:top w:w="15" w:type="dxa"/>
                    <w:left w:w="15" w:type="dxa"/>
                    <w:right w:w="15" w:type="dxa"/>
                  </w:tcMar>
                  <w:vAlign w:val="center"/>
                </w:tcPr>
                <w:p w14:paraId="46B69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bidi="ar"/>
                    </w:rPr>
                  </w:pPr>
                  <w:r>
                    <w:rPr>
                      <w:rFonts w:hint="eastAsia" w:cs="Times New Roman"/>
                      <w:color w:val="000000"/>
                      <w:sz w:val="21"/>
                      <w:szCs w:val="21"/>
                      <w:highlight w:val="none"/>
                      <w:lang w:eastAsia="zh-CN" w:bidi="ar"/>
                    </w:rPr>
                    <w:t>改扩建</w:t>
                  </w:r>
                  <w:r>
                    <w:rPr>
                      <w:rFonts w:hint="eastAsia" w:ascii="Times New Roman" w:hAnsi="Times New Roman" w:eastAsia="宋体" w:cs="Times New Roman"/>
                      <w:color w:val="000000"/>
                      <w:sz w:val="21"/>
                      <w:szCs w:val="21"/>
                      <w:highlight w:val="none"/>
                      <w:lang w:eastAsia="zh-CN" w:bidi="ar"/>
                    </w:rPr>
                    <w:t>后</w:t>
                  </w:r>
                </w:p>
              </w:tc>
              <w:tc>
                <w:tcPr>
                  <w:tcW w:w="775" w:type="pct"/>
                  <w:noWrap w:val="0"/>
                  <w:tcMar>
                    <w:top w:w="15" w:type="dxa"/>
                    <w:left w:w="15" w:type="dxa"/>
                    <w:right w:w="15" w:type="dxa"/>
                  </w:tcMar>
                  <w:vAlign w:val="center"/>
                </w:tcPr>
                <w:p w14:paraId="6E0CCB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bidi="ar"/>
                    </w:rPr>
                  </w:pPr>
                  <w:r>
                    <w:rPr>
                      <w:rFonts w:hint="eastAsia" w:ascii="Times New Roman" w:hAnsi="Times New Roman" w:eastAsia="宋体" w:cs="Times New Roman"/>
                      <w:color w:val="000000"/>
                      <w:sz w:val="21"/>
                      <w:szCs w:val="21"/>
                      <w:highlight w:val="none"/>
                      <w:lang w:eastAsia="zh-CN" w:bidi="ar"/>
                    </w:rPr>
                    <w:t>增减量</w:t>
                  </w:r>
                </w:p>
              </w:tc>
              <w:tc>
                <w:tcPr>
                  <w:tcW w:w="776" w:type="pct"/>
                  <w:noWrap w:val="0"/>
                  <w:tcMar>
                    <w:top w:w="15" w:type="dxa"/>
                    <w:left w:w="15" w:type="dxa"/>
                    <w:right w:w="15" w:type="dxa"/>
                  </w:tcMar>
                  <w:vAlign w:val="center"/>
                </w:tcPr>
                <w:p w14:paraId="3F1C7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bidi="ar"/>
                    </w:rPr>
                  </w:pPr>
                  <w:r>
                    <w:rPr>
                      <w:rFonts w:hint="eastAsia" w:ascii="Times New Roman" w:hAnsi="Times New Roman" w:eastAsia="宋体" w:cs="Times New Roman"/>
                      <w:color w:val="000000"/>
                      <w:sz w:val="21"/>
                      <w:szCs w:val="21"/>
                      <w:highlight w:val="none"/>
                      <w:lang w:eastAsia="zh-CN" w:bidi="ar"/>
                    </w:rPr>
                    <w:t>位置</w:t>
                  </w:r>
                </w:p>
              </w:tc>
            </w:tr>
            <w:tr w14:paraId="1AB155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3" w:type="dxa"/>
                  <w:noWrap w:val="0"/>
                  <w:tcMar>
                    <w:top w:w="15" w:type="dxa"/>
                    <w:left w:w="15" w:type="dxa"/>
                    <w:right w:w="15" w:type="dxa"/>
                  </w:tcMar>
                  <w:vAlign w:val="center"/>
                </w:tcPr>
                <w:p w14:paraId="6F1478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cs="Times New Roman"/>
                      <w:color w:val="000000"/>
                      <w:sz w:val="21"/>
                      <w:szCs w:val="21"/>
                      <w:highlight w:val="none"/>
                      <w:lang w:val="en-US" w:eastAsia="zh-CN" w:bidi="ar"/>
                    </w:rPr>
                    <w:t xml:space="preserve"> </w:t>
                  </w:r>
                </w:p>
              </w:tc>
              <w:tc>
                <w:tcPr>
                  <w:tcW w:w="2130" w:type="dxa"/>
                  <w:noWrap w:val="0"/>
                  <w:tcMar>
                    <w:top w:w="15" w:type="dxa"/>
                    <w:left w:w="15" w:type="dxa"/>
                    <w:right w:w="15" w:type="dxa"/>
                  </w:tcMar>
                  <w:vAlign w:val="center"/>
                </w:tcPr>
                <w:p w14:paraId="29E2634F">
                  <w:pPr>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7189D148">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40FC8148">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02DD1980">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3" w:type="dxa"/>
                  <w:vMerge w:val="restart"/>
                  <w:noWrap w:val="0"/>
                  <w:tcMar>
                    <w:top w:w="15" w:type="dxa"/>
                    <w:left w:w="15" w:type="dxa"/>
                    <w:right w:w="15" w:type="dxa"/>
                  </w:tcMar>
                  <w:vAlign w:val="center"/>
                </w:tcPr>
                <w:p w14:paraId="3938A4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kern w:val="0"/>
                      <w:sz w:val="21"/>
                      <w:szCs w:val="21"/>
                      <w:highlight w:val="none"/>
                      <w:lang w:val="en-US" w:eastAsia="zh-CN"/>
                    </w:rPr>
                  </w:pPr>
                  <w:r>
                    <w:rPr>
                      <w:rFonts w:hint="eastAsia" w:cs="Times New Roman"/>
                      <w:color w:val="000000"/>
                      <w:sz w:val="21"/>
                      <w:szCs w:val="21"/>
                      <w:highlight w:val="none"/>
                      <w:lang w:val="en-US" w:eastAsia="zh-CN" w:bidi="ar"/>
                    </w:rPr>
                    <w:t xml:space="preserve"> </w:t>
                  </w:r>
                </w:p>
              </w:tc>
            </w:tr>
            <w:tr w14:paraId="18DF09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3" w:type="dxa"/>
                  <w:noWrap w:val="0"/>
                  <w:tcMar>
                    <w:top w:w="15" w:type="dxa"/>
                    <w:left w:w="15" w:type="dxa"/>
                    <w:right w:w="15" w:type="dxa"/>
                  </w:tcMar>
                  <w:vAlign w:val="center"/>
                </w:tcPr>
                <w:p w14:paraId="1F60A3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cs="Times New Roman"/>
                      <w:color w:val="000000"/>
                      <w:sz w:val="21"/>
                      <w:szCs w:val="21"/>
                      <w:highlight w:val="none"/>
                      <w:lang w:val="en-US" w:eastAsia="zh-CN" w:bidi="ar"/>
                    </w:rPr>
                    <w:t xml:space="preserve"> </w:t>
                  </w:r>
                </w:p>
              </w:tc>
              <w:tc>
                <w:tcPr>
                  <w:tcW w:w="2130" w:type="dxa"/>
                  <w:noWrap w:val="0"/>
                  <w:tcMar>
                    <w:top w:w="15" w:type="dxa"/>
                    <w:left w:w="15" w:type="dxa"/>
                    <w:right w:w="15" w:type="dxa"/>
                  </w:tcMar>
                  <w:vAlign w:val="center"/>
                </w:tcPr>
                <w:p w14:paraId="71845DDF">
                  <w:pPr>
                    <w:jc w:val="center"/>
                    <w:textAlignment w:val="center"/>
                    <w:rPr>
                      <w:rFonts w:hint="eastAsia" w:ascii="宋体" w:hAnsi="宋体" w:eastAsia="宋体" w:cs="宋体"/>
                      <w:kern w:val="2"/>
                      <w:sz w:val="24"/>
                      <w:szCs w:val="24"/>
                      <w:highlight w:val="none"/>
                      <w:lang w:val="en-US" w:eastAsia="zh-CN" w:bidi="ar-SA"/>
                    </w:rPr>
                  </w:pPr>
                </w:p>
              </w:tc>
              <w:tc>
                <w:tcPr>
                  <w:tcW w:w="1232" w:type="dxa"/>
                  <w:noWrap w:val="0"/>
                  <w:tcMar>
                    <w:top w:w="15" w:type="dxa"/>
                    <w:left w:w="15" w:type="dxa"/>
                    <w:right w:w="15" w:type="dxa"/>
                  </w:tcMar>
                  <w:vAlign w:val="center"/>
                </w:tcPr>
                <w:p w14:paraId="75DD6203">
                  <w:pPr>
                    <w:widowControl w:val="0"/>
                    <w:jc w:val="center"/>
                    <w:textAlignment w:val="center"/>
                    <w:rPr>
                      <w:rFonts w:hint="default" w:eastAsia="宋体"/>
                      <w:kern w:val="0"/>
                      <w:sz w:val="21"/>
                      <w:szCs w:val="21"/>
                      <w:highlight w:val="none"/>
                      <w:lang w:val="en-US" w:eastAsia="zh-CN" w:bidi="ar-SA"/>
                    </w:rPr>
                  </w:pPr>
                </w:p>
              </w:tc>
              <w:tc>
                <w:tcPr>
                  <w:tcW w:w="1232" w:type="dxa"/>
                  <w:noWrap w:val="0"/>
                  <w:tcMar>
                    <w:top w:w="15" w:type="dxa"/>
                    <w:left w:w="15" w:type="dxa"/>
                    <w:right w:w="15" w:type="dxa"/>
                  </w:tcMar>
                  <w:vAlign w:val="center"/>
                </w:tcPr>
                <w:p w14:paraId="0248B6E5">
                  <w:pPr>
                    <w:widowControl w:val="0"/>
                    <w:jc w:val="center"/>
                    <w:textAlignment w:val="center"/>
                    <w:rPr>
                      <w:rFonts w:hint="default" w:eastAsia="宋体"/>
                      <w:kern w:val="0"/>
                      <w:sz w:val="21"/>
                      <w:szCs w:val="21"/>
                      <w:highlight w:val="none"/>
                      <w:lang w:val="en-US" w:eastAsia="zh-CN"/>
                    </w:rPr>
                  </w:pPr>
                </w:p>
              </w:tc>
              <w:tc>
                <w:tcPr>
                  <w:tcW w:w="1232" w:type="dxa"/>
                  <w:noWrap w:val="0"/>
                  <w:tcMar>
                    <w:top w:w="15" w:type="dxa"/>
                    <w:left w:w="15" w:type="dxa"/>
                    <w:right w:w="15" w:type="dxa"/>
                  </w:tcMar>
                  <w:vAlign w:val="center"/>
                </w:tcPr>
                <w:p w14:paraId="45E8C7D9">
                  <w:pPr>
                    <w:widowControl w:val="0"/>
                    <w:jc w:val="center"/>
                    <w:textAlignment w:val="center"/>
                    <w:rPr>
                      <w:rFonts w:hint="eastAsia" w:eastAsia="宋体"/>
                      <w:kern w:val="0"/>
                      <w:sz w:val="21"/>
                      <w:szCs w:val="21"/>
                      <w:highlight w:val="none"/>
                      <w:lang w:val="en-US" w:eastAsia="zh-CN"/>
                    </w:rPr>
                  </w:pPr>
                </w:p>
              </w:tc>
              <w:tc>
                <w:tcPr>
                  <w:tcW w:w="776" w:type="pct"/>
                  <w:vMerge w:val="continue"/>
                  <w:noWrap w:val="0"/>
                  <w:tcMar>
                    <w:top w:w="15" w:type="dxa"/>
                    <w:left w:w="15" w:type="dxa"/>
                    <w:right w:w="15" w:type="dxa"/>
                  </w:tcMar>
                  <w:vAlign w:val="center"/>
                </w:tcPr>
                <w:p w14:paraId="2C4A0DE7">
                  <w:pPr>
                    <w:widowControl/>
                    <w:jc w:val="center"/>
                    <w:rPr>
                      <w:rFonts w:hint="default" w:eastAsia="宋体"/>
                      <w:kern w:val="0"/>
                      <w:sz w:val="21"/>
                      <w:szCs w:val="21"/>
                      <w:highlight w:val="none"/>
                      <w:lang w:val="en-US" w:eastAsia="zh-CN"/>
                    </w:rPr>
                  </w:pPr>
                </w:p>
              </w:tc>
            </w:tr>
            <w:tr w14:paraId="64211B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3" w:type="dxa"/>
                  <w:noWrap w:val="0"/>
                  <w:tcMar>
                    <w:top w:w="15" w:type="dxa"/>
                    <w:left w:w="15" w:type="dxa"/>
                    <w:right w:w="15" w:type="dxa"/>
                  </w:tcMar>
                  <w:vAlign w:val="center"/>
                </w:tcPr>
                <w:p w14:paraId="14DA94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cs="Times New Roman"/>
                      <w:color w:val="000000"/>
                      <w:sz w:val="21"/>
                      <w:szCs w:val="21"/>
                      <w:highlight w:val="none"/>
                      <w:lang w:val="en-US" w:eastAsia="zh-CN" w:bidi="ar"/>
                    </w:rPr>
                    <w:t xml:space="preserve"> </w:t>
                  </w:r>
                </w:p>
              </w:tc>
              <w:tc>
                <w:tcPr>
                  <w:tcW w:w="2130" w:type="dxa"/>
                  <w:noWrap w:val="0"/>
                  <w:tcMar>
                    <w:top w:w="15" w:type="dxa"/>
                    <w:left w:w="15" w:type="dxa"/>
                    <w:right w:w="15" w:type="dxa"/>
                  </w:tcMar>
                  <w:vAlign w:val="center"/>
                </w:tcPr>
                <w:p w14:paraId="55370DE8">
                  <w:pPr>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46F15605">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2203FCC5">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3A248B7D">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3" w:type="dxa"/>
                  <w:vMerge w:val="restart"/>
                  <w:noWrap w:val="0"/>
                  <w:tcMar>
                    <w:top w:w="15" w:type="dxa"/>
                    <w:left w:w="15" w:type="dxa"/>
                    <w:right w:w="15" w:type="dxa"/>
                  </w:tcMar>
                  <w:vAlign w:val="center"/>
                </w:tcPr>
                <w:p w14:paraId="20C68B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kern w:val="0"/>
                      <w:sz w:val="21"/>
                      <w:szCs w:val="21"/>
                      <w:highlight w:val="none"/>
                      <w:lang w:val="en-US" w:eastAsia="zh-CN" w:bidi="ar-SA"/>
                    </w:rPr>
                  </w:pPr>
                  <w:r>
                    <w:rPr>
                      <w:rFonts w:hint="eastAsia" w:cs="Times New Roman"/>
                      <w:color w:val="000000"/>
                      <w:sz w:val="21"/>
                      <w:szCs w:val="21"/>
                      <w:highlight w:val="none"/>
                      <w:lang w:val="en-US" w:eastAsia="zh-CN" w:bidi="ar"/>
                    </w:rPr>
                    <w:t xml:space="preserve"> </w:t>
                  </w:r>
                </w:p>
              </w:tc>
            </w:tr>
            <w:tr w14:paraId="33A72E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3" w:type="dxa"/>
                  <w:noWrap w:val="0"/>
                  <w:tcMar>
                    <w:top w:w="15" w:type="dxa"/>
                    <w:left w:w="15" w:type="dxa"/>
                    <w:right w:w="15" w:type="dxa"/>
                  </w:tcMar>
                  <w:vAlign w:val="center"/>
                </w:tcPr>
                <w:p w14:paraId="25021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cs="Times New Roman"/>
                      <w:color w:val="000000"/>
                      <w:sz w:val="21"/>
                      <w:szCs w:val="21"/>
                      <w:highlight w:val="none"/>
                      <w:lang w:val="en-US" w:eastAsia="zh-CN" w:bidi="ar"/>
                    </w:rPr>
                    <w:t xml:space="preserve"> </w:t>
                  </w:r>
                </w:p>
              </w:tc>
              <w:tc>
                <w:tcPr>
                  <w:tcW w:w="2130" w:type="dxa"/>
                  <w:noWrap w:val="0"/>
                  <w:tcMar>
                    <w:top w:w="15" w:type="dxa"/>
                    <w:left w:w="15" w:type="dxa"/>
                    <w:right w:w="15" w:type="dxa"/>
                  </w:tcMar>
                  <w:vAlign w:val="center"/>
                </w:tcPr>
                <w:p w14:paraId="1B09E14C">
                  <w:pPr>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6E215AC7">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417467B7">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rPr>
                  </w:pPr>
                </w:p>
              </w:tc>
              <w:tc>
                <w:tcPr>
                  <w:tcW w:w="1232" w:type="dxa"/>
                  <w:noWrap w:val="0"/>
                  <w:tcMar>
                    <w:top w:w="15" w:type="dxa"/>
                    <w:left w:w="15" w:type="dxa"/>
                    <w:right w:w="15" w:type="dxa"/>
                  </w:tcMar>
                  <w:vAlign w:val="center"/>
                </w:tcPr>
                <w:p w14:paraId="048ED709">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rPr>
                  </w:pPr>
                </w:p>
              </w:tc>
              <w:tc>
                <w:tcPr>
                  <w:tcW w:w="776" w:type="pct"/>
                  <w:vMerge w:val="continue"/>
                  <w:noWrap w:val="0"/>
                  <w:tcMar>
                    <w:top w:w="15" w:type="dxa"/>
                    <w:left w:w="15" w:type="dxa"/>
                    <w:right w:w="15" w:type="dxa"/>
                  </w:tcMar>
                  <w:vAlign w:val="center"/>
                </w:tcPr>
                <w:p w14:paraId="57C39824">
                  <w:pPr>
                    <w:widowControl w:val="0"/>
                    <w:spacing w:line="240" w:lineRule="auto"/>
                    <w:jc w:val="center"/>
                    <w:textAlignment w:val="center"/>
                    <w:rPr>
                      <w:rFonts w:hint="eastAsia" w:ascii="Times New Roman" w:hAnsi="Times New Roman" w:eastAsia="宋体" w:cs="Times New Roman"/>
                      <w:bCs/>
                      <w:color w:val="000000"/>
                      <w:kern w:val="0"/>
                      <w:sz w:val="21"/>
                      <w:szCs w:val="21"/>
                      <w:highlight w:val="none"/>
                      <w:lang w:val="en-US" w:eastAsia="zh-CN"/>
                    </w:rPr>
                  </w:pPr>
                </w:p>
              </w:tc>
            </w:tr>
            <w:tr w14:paraId="174C9C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3" w:type="dxa"/>
                  <w:noWrap w:val="0"/>
                  <w:tcMar>
                    <w:top w:w="15" w:type="dxa"/>
                    <w:left w:w="15" w:type="dxa"/>
                    <w:right w:w="15" w:type="dxa"/>
                  </w:tcMar>
                  <w:vAlign w:val="center"/>
                </w:tcPr>
                <w:p w14:paraId="77C319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cs="Times New Roman"/>
                      <w:color w:val="000000"/>
                      <w:sz w:val="21"/>
                      <w:szCs w:val="21"/>
                      <w:highlight w:val="none"/>
                      <w:lang w:val="en-US" w:eastAsia="zh-CN" w:bidi="ar"/>
                    </w:rPr>
                    <w:t xml:space="preserve"> </w:t>
                  </w:r>
                </w:p>
              </w:tc>
              <w:tc>
                <w:tcPr>
                  <w:tcW w:w="2130" w:type="dxa"/>
                  <w:noWrap w:val="0"/>
                  <w:tcMar>
                    <w:top w:w="15" w:type="dxa"/>
                    <w:left w:w="15" w:type="dxa"/>
                    <w:right w:w="15" w:type="dxa"/>
                  </w:tcMar>
                  <w:vAlign w:val="center"/>
                </w:tcPr>
                <w:p w14:paraId="1D139DF8">
                  <w:pPr>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31F50A76">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35CD5D04">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rPr>
                  </w:pPr>
                </w:p>
              </w:tc>
              <w:tc>
                <w:tcPr>
                  <w:tcW w:w="1232" w:type="dxa"/>
                  <w:noWrap w:val="0"/>
                  <w:tcMar>
                    <w:top w:w="15" w:type="dxa"/>
                    <w:left w:w="15" w:type="dxa"/>
                    <w:right w:w="15" w:type="dxa"/>
                  </w:tcMar>
                  <w:vAlign w:val="center"/>
                </w:tcPr>
                <w:p w14:paraId="1DE60D46">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rPr>
                  </w:pPr>
                </w:p>
              </w:tc>
              <w:tc>
                <w:tcPr>
                  <w:tcW w:w="776" w:type="pct"/>
                  <w:vMerge w:val="continue"/>
                  <w:noWrap w:val="0"/>
                  <w:tcMar>
                    <w:top w:w="15" w:type="dxa"/>
                    <w:left w:w="15" w:type="dxa"/>
                    <w:right w:w="15" w:type="dxa"/>
                  </w:tcMar>
                  <w:vAlign w:val="center"/>
                </w:tcPr>
                <w:p w14:paraId="12D0B5F9">
                  <w:pPr>
                    <w:widowControl w:val="0"/>
                    <w:spacing w:line="240" w:lineRule="auto"/>
                    <w:jc w:val="center"/>
                    <w:textAlignment w:val="center"/>
                    <w:rPr>
                      <w:rFonts w:hint="eastAsia" w:ascii="Times New Roman" w:hAnsi="Times New Roman" w:eastAsia="宋体" w:cs="Times New Roman"/>
                      <w:bCs/>
                      <w:color w:val="000000"/>
                      <w:kern w:val="0"/>
                      <w:sz w:val="21"/>
                      <w:szCs w:val="21"/>
                      <w:highlight w:val="none"/>
                      <w:lang w:val="en-US" w:eastAsia="zh-CN"/>
                    </w:rPr>
                  </w:pPr>
                </w:p>
              </w:tc>
            </w:tr>
            <w:tr w14:paraId="3AB299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3" w:type="dxa"/>
                  <w:noWrap w:val="0"/>
                  <w:tcMar>
                    <w:top w:w="15" w:type="dxa"/>
                    <w:left w:w="15" w:type="dxa"/>
                    <w:right w:w="15" w:type="dxa"/>
                  </w:tcMar>
                  <w:vAlign w:val="center"/>
                </w:tcPr>
                <w:p w14:paraId="129C53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cs="Times New Roman"/>
                      <w:color w:val="000000"/>
                      <w:sz w:val="21"/>
                      <w:szCs w:val="21"/>
                      <w:highlight w:val="none"/>
                      <w:lang w:val="en-US" w:eastAsia="zh-CN" w:bidi="ar"/>
                    </w:rPr>
                    <w:t xml:space="preserve"> </w:t>
                  </w:r>
                </w:p>
              </w:tc>
              <w:tc>
                <w:tcPr>
                  <w:tcW w:w="2130" w:type="dxa"/>
                  <w:noWrap w:val="0"/>
                  <w:tcMar>
                    <w:top w:w="15" w:type="dxa"/>
                    <w:left w:w="15" w:type="dxa"/>
                    <w:right w:w="15" w:type="dxa"/>
                  </w:tcMar>
                  <w:vAlign w:val="center"/>
                </w:tcPr>
                <w:p w14:paraId="43EF9A86">
                  <w:pPr>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4BE45BB9">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6D0334F7">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rPr>
                  </w:pPr>
                </w:p>
              </w:tc>
              <w:tc>
                <w:tcPr>
                  <w:tcW w:w="1232" w:type="dxa"/>
                  <w:noWrap w:val="0"/>
                  <w:tcMar>
                    <w:top w:w="15" w:type="dxa"/>
                    <w:left w:w="15" w:type="dxa"/>
                    <w:right w:w="15" w:type="dxa"/>
                  </w:tcMar>
                  <w:vAlign w:val="center"/>
                </w:tcPr>
                <w:p w14:paraId="21445EC5">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rPr>
                  </w:pPr>
                </w:p>
              </w:tc>
              <w:tc>
                <w:tcPr>
                  <w:tcW w:w="776" w:type="pct"/>
                  <w:vMerge w:val="continue"/>
                  <w:noWrap w:val="0"/>
                  <w:tcMar>
                    <w:top w:w="15" w:type="dxa"/>
                    <w:left w:w="15" w:type="dxa"/>
                    <w:right w:w="15" w:type="dxa"/>
                  </w:tcMar>
                  <w:vAlign w:val="center"/>
                </w:tcPr>
                <w:p w14:paraId="2E73B9A8">
                  <w:pPr>
                    <w:widowControl w:val="0"/>
                    <w:spacing w:line="240" w:lineRule="auto"/>
                    <w:jc w:val="center"/>
                    <w:textAlignment w:val="center"/>
                    <w:rPr>
                      <w:rFonts w:hint="eastAsia" w:ascii="Times New Roman" w:hAnsi="Times New Roman" w:eastAsia="宋体" w:cs="Times New Roman"/>
                      <w:bCs/>
                      <w:color w:val="000000"/>
                      <w:kern w:val="0"/>
                      <w:sz w:val="21"/>
                      <w:szCs w:val="21"/>
                      <w:highlight w:val="none"/>
                      <w:lang w:val="en-US" w:eastAsia="zh-CN"/>
                    </w:rPr>
                  </w:pPr>
                </w:p>
              </w:tc>
            </w:tr>
            <w:tr w14:paraId="022455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3" w:type="dxa"/>
                  <w:noWrap w:val="0"/>
                  <w:tcMar>
                    <w:top w:w="15" w:type="dxa"/>
                    <w:left w:w="15" w:type="dxa"/>
                    <w:right w:w="15" w:type="dxa"/>
                  </w:tcMar>
                  <w:vAlign w:val="center"/>
                </w:tcPr>
                <w:p w14:paraId="213023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cs="Times New Roman"/>
                      <w:color w:val="000000"/>
                      <w:sz w:val="21"/>
                      <w:szCs w:val="21"/>
                      <w:highlight w:val="none"/>
                      <w:lang w:val="en-US" w:eastAsia="zh-CN" w:bidi="ar"/>
                    </w:rPr>
                    <w:t xml:space="preserve"> </w:t>
                  </w:r>
                </w:p>
              </w:tc>
              <w:tc>
                <w:tcPr>
                  <w:tcW w:w="2130" w:type="dxa"/>
                  <w:noWrap w:val="0"/>
                  <w:tcMar>
                    <w:top w:w="15" w:type="dxa"/>
                    <w:left w:w="15" w:type="dxa"/>
                    <w:right w:w="15" w:type="dxa"/>
                  </w:tcMar>
                  <w:vAlign w:val="center"/>
                </w:tcPr>
                <w:p w14:paraId="5F9A0EF9">
                  <w:pPr>
                    <w:jc w:val="center"/>
                    <w:textAlignment w:val="center"/>
                    <w:rPr>
                      <w:rFonts w:hint="eastAsia" w:ascii="宋体" w:hAnsi="宋体" w:eastAsia="宋体" w:cs="宋体"/>
                      <w:kern w:val="2"/>
                      <w:sz w:val="24"/>
                      <w:szCs w:val="24"/>
                      <w:highlight w:val="none"/>
                      <w:lang w:val="en-US" w:eastAsia="zh-CN" w:bidi="ar-SA"/>
                    </w:rPr>
                  </w:pPr>
                </w:p>
              </w:tc>
              <w:tc>
                <w:tcPr>
                  <w:tcW w:w="1232" w:type="dxa"/>
                  <w:noWrap w:val="0"/>
                  <w:tcMar>
                    <w:top w:w="15" w:type="dxa"/>
                    <w:left w:w="15" w:type="dxa"/>
                    <w:right w:w="15" w:type="dxa"/>
                  </w:tcMar>
                  <w:vAlign w:val="center"/>
                </w:tcPr>
                <w:p w14:paraId="28F728F0">
                  <w:pPr>
                    <w:widowControl w:val="0"/>
                    <w:jc w:val="center"/>
                    <w:textAlignment w:val="center"/>
                    <w:rPr>
                      <w:rFonts w:hint="eastAsia" w:eastAsia="宋体"/>
                      <w:kern w:val="0"/>
                      <w:sz w:val="21"/>
                      <w:szCs w:val="21"/>
                      <w:highlight w:val="none"/>
                      <w:lang w:val="en-US" w:eastAsia="zh-CN" w:bidi="ar-SA"/>
                    </w:rPr>
                  </w:pPr>
                </w:p>
              </w:tc>
              <w:tc>
                <w:tcPr>
                  <w:tcW w:w="1232" w:type="dxa"/>
                  <w:noWrap w:val="0"/>
                  <w:tcMar>
                    <w:top w:w="15" w:type="dxa"/>
                    <w:left w:w="15" w:type="dxa"/>
                    <w:right w:w="15" w:type="dxa"/>
                  </w:tcMar>
                  <w:vAlign w:val="center"/>
                </w:tcPr>
                <w:p w14:paraId="78803BE0">
                  <w:pPr>
                    <w:widowControl w:val="0"/>
                    <w:jc w:val="center"/>
                    <w:textAlignment w:val="center"/>
                    <w:rPr>
                      <w:rFonts w:hint="eastAsia" w:eastAsia="宋体"/>
                      <w:kern w:val="0"/>
                      <w:sz w:val="21"/>
                      <w:szCs w:val="21"/>
                      <w:highlight w:val="none"/>
                      <w:lang w:val="en-US" w:eastAsia="zh-CN"/>
                    </w:rPr>
                  </w:pPr>
                </w:p>
              </w:tc>
              <w:tc>
                <w:tcPr>
                  <w:tcW w:w="1232" w:type="dxa"/>
                  <w:noWrap w:val="0"/>
                  <w:tcMar>
                    <w:top w:w="15" w:type="dxa"/>
                    <w:left w:w="15" w:type="dxa"/>
                    <w:right w:w="15" w:type="dxa"/>
                  </w:tcMar>
                  <w:vAlign w:val="center"/>
                </w:tcPr>
                <w:p w14:paraId="0C83C73D">
                  <w:pPr>
                    <w:widowControl w:val="0"/>
                    <w:jc w:val="center"/>
                    <w:textAlignment w:val="center"/>
                    <w:rPr>
                      <w:rFonts w:hint="default" w:eastAsia="宋体"/>
                      <w:kern w:val="0"/>
                      <w:sz w:val="21"/>
                      <w:szCs w:val="21"/>
                      <w:highlight w:val="none"/>
                      <w:lang w:val="en-US" w:eastAsia="zh-CN"/>
                    </w:rPr>
                  </w:pPr>
                </w:p>
              </w:tc>
              <w:tc>
                <w:tcPr>
                  <w:tcW w:w="776" w:type="pct"/>
                  <w:vMerge w:val="continue"/>
                  <w:noWrap w:val="0"/>
                  <w:tcMar>
                    <w:top w:w="15" w:type="dxa"/>
                    <w:left w:w="15" w:type="dxa"/>
                    <w:right w:w="15" w:type="dxa"/>
                  </w:tcMar>
                  <w:vAlign w:val="center"/>
                </w:tcPr>
                <w:p w14:paraId="13BD8048">
                  <w:pPr>
                    <w:widowControl/>
                    <w:jc w:val="center"/>
                    <w:rPr>
                      <w:rFonts w:hint="eastAsia"/>
                      <w:kern w:val="0"/>
                      <w:sz w:val="21"/>
                      <w:szCs w:val="21"/>
                      <w:highlight w:val="none"/>
                    </w:rPr>
                  </w:pPr>
                </w:p>
              </w:tc>
            </w:tr>
            <w:tr w14:paraId="4341ED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3" w:type="dxa"/>
                  <w:noWrap w:val="0"/>
                  <w:tcMar>
                    <w:top w:w="15" w:type="dxa"/>
                    <w:left w:w="15" w:type="dxa"/>
                    <w:right w:w="15" w:type="dxa"/>
                  </w:tcMar>
                  <w:vAlign w:val="center"/>
                </w:tcPr>
                <w:p w14:paraId="7774D9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cs="Times New Roman"/>
                      <w:color w:val="000000"/>
                      <w:sz w:val="21"/>
                      <w:szCs w:val="21"/>
                      <w:highlight w:val="none"/>
                      <w:lang w:val="en-US" w:eastAsia="zh-CN" w:bidi="ar"/>
                    </w:rPr>
                    <w:t xml:space="preserve"> </w:t>
                  </w:r>
                </w:p>
              </w:tc>
              <w:tc>
                <w:tcPr>
                  <w:tcW w:w="2130" w:type="dxa"/>
                  <w:noWrap w:val="0"/>
                  <w:tcMar>
                    <w:top w:w="15" w:type="dxa"/>
                    <w:left w:w="15" w:type="dxa"/>
                    <w:right w:w="15" w:type="dxa"/>
                  </w:tcMar>
                  <w:vAlign w:val="center"/>
                </w:tcPr>
                <w:p w14:paraId="1D53B67E">
                  <w:pPr>
                    <w:jc w:val="center"/>
                    <w:textAlignment w:val="center"/>
                    <w:rPr>
                      <w:rFonts w:hint="eastAsia" w:ascii="宋体" w:hAnsi="宋体" w:eastAsia="宋体" w:cs="宋体"/>
                      <w:kern w:val="2"/>
                      <w:sz w:val="24"/>
                      <w:szCs w:val="24"/>
                      <w:highlight w:val="none"/>
                      <w:lang w:val="en-US" w:eastAsia="zh-CN" w:bidi="ar-SA"/>
                    </w:rPr>
                  </w:pPr>
                </w:p>
              </w:tc>
              <w:tc>
                <w:tcPr>
                  <w:tcW w:w="1232" w:type="dxa"/>
                  <w:noWrap w:val="0"/>
                  <w:tcMar>
                    <w:top w:w="15" w:type="dxa"/>
                    <w:left w:w="15" w:type="dxa"/>
                    <w:right w:w="15" w:type="dxa"/>
                  </w:tcMar>
                  <w:vAlign w:val="center"/>
                </w:tcPr>
                <w:p w14:paraId="217AB3C6">
                  <w:pPr>
                    <w:widowControl w:val="0"/>
                    <w:jc w:val="center"/>
                    <w:textAlignment w:val="center"/>
                    <w:rPr>
                      <w:rFonts w:hint="eastAsia" w:eastAsia="宋体"/>
                      <w:kern w:val="0"/>
                      <w:sz w:val="21"/>
                      <w:szCs w:val="21"/>
                      <w:highlight w:val="none"/>
                      <w:lang w:val="en-US" w:eastAsia="zh-CN" w:bidi="ar-SA"/>
                    </w:rPr>
                  </w:pPr>
                </w:p>
              </w:tc>
              <w:tc>
                <w:tcPr>
                  <w:tcW w:w="1232" w:type="dxa"/>
                  <w:noWrap w:val="0"/>
                  <w:tcMar>
                    <w:top w:w="15" w:type="dxa"/>
                    <w:left w:w="15" w:type="dxa"/>
                    <w:right w:w="15" w:type="dxa"/>
                  </w:tcMar>
                  <w:vAlign w:val="center"/>
                </w:tcPr>
                <w:p w14:paraId="22EB55F4">
                  <w:pPr>
                    <w:widowControl w:val="0"/>
                    <w:jc w:val="center"/>
                    <w:textAlignment w:val="center"/>
                    <w:rPr>
                      <w:rFonts w:hint="eastAsia" w:eastAsia="宋体"/>
                      <w:kern w:val="0"/>
                      <w:sz w:val="21"/>
                      <w:szCs w:val="21"/>
                      <w:highlight w:val="none"/>
                      <w:lang w:val="en-US" w:eastAsia="zh-CN"/>
                    </w:rPr>
                  </w:pPr>
                </w:p>
              </w:tc>
              <w:tc>
                <w:tcPr>
                  <w:tcW w:w="1232" w:type="dxa"/>
                  <w:noWrap w:val="0"/>
                  <w:tcMar>
                    <w:top w:w="15" w:type="dxa"/>
                    <w:left w:w="15" w:type="dxa"/>
                    <w:right w:w="15" w:type="dxa"/>
                  </w:tcMar>
                  <w:vAlign w:val="center"/>
                </w:tcPr>
                <w:p w14:paraId="720D9FB8">
                  <w:pPr>
                    <w:widowControl w:val="0"/>
                    <w:jc w:val="center"/>
                    <w:textAlignment w:val="center"/>
                    <w:rPr>
                      <w:rFonts w:hint="default" w:eastAsia="宋体"/>
                      <w:kern w:val="0"/>
                      <w:sz w:val="21"/>
                      <w:szCs w:val="21"/>
                      <w:highlight w:val="none"/>
                      <w:lang w:val="en-US" w:eastAsia="zh-CN"/>
                    </w:rPr>
                  </w:pPr>
                </w:p>
              </w:tc>
              <w:tc>
                <w:tcPr>
                  <w:tcW w:w="1233" w:type="dxa"/>
                  <w:noWrap w:val="0"/>
                  <w:tcMar>
                    <w:top w:w="15" w:type="dxa"/>
                    <w:left w:w="15" w:type="dxa"/>
                    <w:right w:w="15" w:type="dxa"/>
                  </w:tcMar>
                  <w:vAlign w:val="center"/>
                </w:tcPr>
                <w:p w14:paraId="43A75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kern w:val="0"/>
                      <w:sz w:val="21"/>
                      <w:szCs w:val="21"/>
                      <w:highlight w:val="none"/>
                      <w:lang w:val="en-US" w:eastAsia="zh-CN"/>
                    </w:rPr>
                  </w:pPr>
                  <w:r>
                    <w:rPr>
                      <w:rFonts w:hint="eastAsia" w:cs="Times New Roman"/>
                      <w:color w:val="000000"/>
                      <w:sz w:val="21"/>
                      <w:szCs w:val="21"/>
                      <w:highlight w:val="none"/>
                      <w:lang w:val="en-US" w:eastAsia="zh-CN" w:bidi="ar"/>
                    </w:rPr>
                    <w:t xml:space="preserve"> </w:t>
                  </w:r>
                </w:p>
              </w:tc>
            </w:tr>
            <w:tr w14:paraId="0F94BD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3" w:type="dxa"/>
                  <w:noWrap w:val="0"/>
                  <w:tcMar>
                    <w:top w:w="15" w:type="dxa"/>
                    <w:left w:w="15" w:type="dxa"/>
                    <w:right w:w="15" w:type="dxa"/>
                  </w:tcMar>
                  <w:vAlign w:val="center"/>
                </w:tcPr>
                <w:p w14:paraId="3E40F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cs="Times New Roman"/>
                      <w:color w:val="000000"/>
                      <w:sz w:val="21"/>
                      <w:szCs w:val="21"/>
                      <w:highlight w:val="none"/>
                      <w:lang w:val="en-US" w:eastAsia="zh-CN" w:bidi="ar"/>
                    </w:rPr>
                    <w:t xml:space="preserve"> </w:t>
                  </w:r>
                </w:p>
              </w:tc>
              <w:tc>
                <w:tcPr>
                  <w:tcW w:w="2130" w:type="dxa"/>
                  <w:noWrap w:val="0"/>
                  <w:tcMar>
                    <w:top w:w="15" w:type="dxa"/>
                    <w:left w:w="15" w:type="dxa"/>
                    <w:right w:w="15" w:type="dxa"/>
                  </w:tcMar>
                  <w:vAlign w:val="center"/>
                </w:tcPr>
                <w:p w14:paraId="3AD93B10">
                  <w:pPr>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55FE93EA">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6BAA1CB6">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rPr>
                  </w:pPr>
                </w:p>
              </w:tc>
              <w:tc>
                <w:tcPr>
                  <w:tcW w:w="1232" w:type="dxa"/>
                  <w:noWrap w:val="0"/>
                  <w:tcMar>
                    <w:top w:w="15" w:type="dxa"/>
                    <w:left w:w="15" w:type="dxa"/>
                    <w:right w:w="15" w:type="dxa"/>
                  </w:tcMar>
                  <w:vAlign w:val="center"/>
                </w:tcPr>
                <w:p w14:paraId="1650AB13">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rPr>
                  </w:pPr>
                </w:p>
              </w:tc>
              <w:tc>
                <w:tcPr>
                  <w:tcW w:w="1233" w:type="dxa"/>
                  <w:vMerge w:val="restart"/>
                  <w:noWrap w:val="0"/>
                  <w:tcMar>
                    <w:top w:w="15" w:type="dxa"/>
                    <w:left w:w="15" w:type="dxa"/>
                    <w:right w:w="15" w:type="dxa"/>
                  </w:tcMar>
                  <w:vAlign w:val="center"/>
                </w:tcPr>
                <w:p w14:paraId="01AB6C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kern w:val="0"/>
                      <w:sz w:val="21"/>
                      <w:szCs w:val="21"/>
                      <w:highlight w:val="none"/>
                      <w:lang w:val="en-US" w:eastAsia="zh-CN"/>
                    </w:rPr>
                  </w:pPr>
                  <w:r>
                    <w:rPr>
                      <w:rFonts w:hint="eastAsia" w:cs="Times New Roman"/>
                      <w:color w:val="000000"/>
                      <w:sz w:val="21"/>
                      <w:szCs w:val="21"/>
                      <w:highlight w:val="none"/>
                      <w:lang w:val="en-US" w:eastAsia="zh-CN" w:bidi="ar"/>
                    </w:rPr>
                    <w:t xml:space="preserve"> </w:t>
                  </w:r>
                </w:p>
              </w:tc>
            </w:tr>
            <w:tr w14:paraId="303006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3" w:type="dxa"/>
                  <w:noWrap w:val="0"/>
                  <w:tcMar>
                    <w:top w:w="15" w:type="dxa"/>
                    <w:left w:w="15" w:type="dxa"/>
                    <w:right w:w="15" w:type="dxa"/>
                  </w:tcMar>
                  <w:vAlign w:val="center"/>
                </w:tcPr>
                <w:p w14:paraId="71060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 xml:space="preserve"> </w:t>
                  </w:r>
                </w:p>
              </w:tc>
              <w:tc>
                <w:tcPr>
                  <w:tcW w:w="2130" w:type="dxa"/>
                  <w:noWrap w:val="0"/>
                  <w:tcMar>
                    <w:top w:w="15" w:type="dxa"/>
                    <w:left w:w="15" w:type="dxa"/>
                    <w:right w:w="15" w:type="dxa"/>
                  </w:tcMar>
                  <w:vAlign w:val="center"/>
                </w:tcPr>
                <w:p w14:paraId="5D58EBE0">
                  <w:pPr>
                    <w:jc w:val="center"/>
                    <w:textAlignment w:val="center"/>
                    <w:rPr>
                      <w:rFonts w:hint="eastAsia" w:ascii="Times New Roman" w:hAnsi="Times New Roman" w:eastAsia="宋体" w:cs="Times New Roman"/>
                      <w:bCs/>
                      <w:color w:val="000000"/>
                      <w:kern w:val="0"/>
                      <w:sz w:val="21"/>
                      <w:szCs w:val="21"/>
                      <w:highlight w:val="none"/>
                      <w:lang w:eastAsia="zh-CN"/>
                    </w:rPr>
                  </w:pPr>
                </w:p>
              </w:tc>
              <w:tc>
                <w:tcPr>
                  <w:tcW w:w="1232" w:type="dxa"/>
                  <w:noWrap w:val="0"/>
                  <w:tcMar>
                    <w:top w:w="15" w:type="dxa"/>
                    <w:left w:w="15" w:type="dxa"/>
                    <w:right w:w="15" w:type="dxa"/>
                  </w:tcMar>
                  <w:vAlign w:val="center"/>
                </w:tcPr>
                <w:p w14:paraId="3539B77B">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bidi="ar-SA"/>
                    </w:rPr>
                  </w:pPr>
                </w:p>
              </w:tc>
              <w:tc>
                <w:tcPr>
                  <w:tcW w:w="1232" w:type="dxa"/>
                  <w:noWrap w:val="0"/>
                  <w:tcMar>
                    <w:top w:w="15" w:type="dxa"/>
                    <w:left w:w="15" w:type="dxa"/>
                    <w:right w:w="15" w:type="dxa"/>
                  </w:tcMar>
                  <w:vAlign w:val="center"/>
                </w:tcPr>
                <w:p w14:paraId="517E9BC4">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rPr>
                  </w:pPr>
                </w:p>
              </w:tc>
              <w:tc>
                <w:tcPr>
                  <w:tcW w:w="1232" w:type="dxa"/>
                  <w:noWrap w:val="0"/>
                  <w:tcMar>
                    <w:top w:w="15" w:type="dxa"/>
                    <w:left w:w="15" w:type="dxa"/>
                    <w:right w:w="15" w:type="dxa"/>
                  </w:tcMar>
                  <w:vAlign w:val="center"/>
                </w:tcPr>
                <w:p w14:paraId="06947CDE">
                  <w:pPr>
                    <w:widowControl w:val="0"/>
                    <w:jc w:val="center"/>
                    <w:textAlignment w:val="center"/>
                    <w:rPr>
                      <w:rFonts w:hint="default" w:ascii="Times New Roman" w:hAnsi="Times New Roman" w:eastAsia="宋体" w:cs="Times New Roman"/>
                      <w:bCs/>
                      <w:color w:val="000000"/>
                      <w:kern w:val="0"/>
                      <w:sz w:val="21"/>
                      <w:szCs w:val="21"/>
                      <w:highlight w:val="none"/>
                      <w:lang w:val="en-US" w:eastAsia="zh-CN"/>
                    </w:rPr>
                  </w:pPr>
                </w:p>
              </w:tc>
              <w:tc>
                <w:tcPr>
                  <w:tcW w:w="776" w:type="pct"/>
                  <w:vMerge w:val="continue"/>
                  <w:noWrap w:val="0"/>
                  <w:tcMar>
                    <w:top w:w="15" w:type="dxa"/>
                    <w:left w:w="15" w:type="dxa"/>
                    <w:right w:w="15" w:type="dxa"/>
                  </w:tcMar>
                  <w:vAlign w:val="center"/>
                </w:tcPr>
                <w:p w14:paraId="6FA11EEB">
                  <w:pPr>
                    <w:widowControl w:val="0"/>
                    <w:spacing w:line="240" w:lineRule="auto"/>
                    <w:jc w:val="center"/>
                    <w:textAlignment w:val="center"/>
                    <w:rPr>
                      <w:rFonts w:hint="eastAsia" w:ascii="Times New Roman" w:hAnsi="Times New Roman" w:eastAsia="宋体" w:cs="Times New Roman"/>
                      <w:bCs/>
                      <w:color w:val="000000"/>
                      <w:kern w:val="0"/>
                      <w:sz w:val="21"/>
                      <w:szCs w:val="21"/>
                      <w:highlight w:val="none"/>
                      <w:lang w:val="en-US" w:eastAsia="zh-CN"/>
                    </w:rPr>
                  </w:pPr>
                </w:p>
              </w:tc>
            </w:tr>
          </w:tbl>
          <w:p w14:paraId="4D7B003B">
            <w:pPr>
              <w:pStyle w:val="56"/>
              <w:keepNext w:val="0"/>
              <w:keepLines w:val="0"/>
              <w:pageBreakBefore w:val="0"/>
              <w:widowControl w:val="0"/>
              <w:kinsoku/>
              <w:wordWrap/>
              <w:overflowPunct/>
              <w:topLinePunct w:val="0"/>
              <w:autoSpaceDE/>
              <w:autoSpaceDN/>
              <w:bidi w:val="0"/>
              <w:adjustRightInd w:val="0"/>
              <w:snapToGrid w:val="0"/>
              <w:spacing w:before="157" w:beforeLines="50" w:after="0" w:afterLines="0" w:line="360" w:lineRule="auto"/>
              <w:textAlignment w:val="auto"/>
              <w:outlineLvl w:val="1"/>
              <w:rPr>
                <w:rFonts w:hint="default" w:ascii="Times New Roman" w:hAnsi="Times New Roman" w:eastAsia="宋体" w:cs="Times New Roman"/>
                <w:color w:val="000000"/>
                <w:highlight w:val="none"/>
                <w:lang w:eastAsia="zh-CN"/>
              </w:rPr>
            </w:pPr>
            <w:r>
              <w:rPr>
                <w:rFonts w:hint="default"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rPr>
              <w:t>.</w:t>
            </w:r>
            <w:r>
              <w:rPr>
                <w:rFonts w:hint="eastAsia" w:ascii="Times New Roman" w:hAnsi="Times New Roman" w:eastAsia="宋体" w:cs="Times New Roman"/>
                <w:color w:val="000000"/>
                <w:highlight w:val="none"/>
                <w:lang w:val="en-US" w:eastAsia="zh-CN"/>
              </w:rPr>
              <w:t>6</w:t>
            </w:r>
            <w:r>
              <w:rPr>
                <w:rFonts w:hint="default" w:ascii="Times New Roman" w:hAnsi="Times New Roman" w:eastAsia="宋体" w:cs="Times New Roman"/>
                <w:color w:val="000000"/>
                <w:highlight w:val="none"/>
                <w:lang w:val="en-US" w:eastAsia="zh-CN"/>
              </w:rPr>
              <w:t>项目</w:t>
            </w:r>
            <w:r>
              <w:rPr>
                <w:rFonts w:hint="default" w:ascii="Times New Roman" w:hAnsi="Times New Roman" w:eastAsia="宋体" w:cs="Times New Roman"/>
                <w:color w:val="000000"/>
                <w:highlight w:val="none"/>
                <w:lang w:eastAsia="zh-CN"/>
              </w:rPr>
              <w:t>原辅材料及能源使用情况</w:t>
            </w:r>
          </w:p>
          <w:p w14:paraId="570C67FB">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textAlignment w:val="auto"/>
              <w:rPr>
                <w:rFonts w:hint="default" w:ascii="Times New Roman" w:hAnsi="Times New Roman" w:eastAsia="宋体" w:cs="Times New Roman"/>
                <w:b/>
                <w:bCs/>
                <w:color w:val="000000"/>
                <w:sz w:val="24"/>
                <w:szCs w:val="24"/>
                <w:highlight w:val="none"/>
                <w:lang w:eastAsia="zh-CN"/>
              </w:rPr>
            </w:pPr>
            <w:r>
              <w:rPr>
                <w:rFonts w:hint="default" w:ascii="Times New Roman" w:hAnsi="Times New Roman" w:eastAsia="宋体" w:cs="Times New Roman"/>
                <w:b/>
                <w:bCs/>
                <w:color w:val="000000"/>
                <w:sz w:val="24"/>
                <w:szCs w:val="24"/>
                <w:highlight w:val="none"/>
              </w:rPr>
              <w:t>表</w:t>
            </w:r>
            <w:r>
              <w:rPr>
                <w:rFonts w:hint="default"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rPr>
              <w:t>-</w:t>
            </w:r>
            <w:r>
              <w:rPr>
                <w:rFonts w:hint="eastAsia" w:ascii="Times New Roman" w:hAnsi="Times New Roman" w:eastAsia="宋体" w:cs="Times New Roman"/>
                <w:b/>
                <w:bCs/>
                <w:color w:val="000000"/>
                <w:sz w:val="24"/>
                <w:szCs w:val="24"/>
                <w:highlight w:val="none"/>
                <w:lang w:val="en-US" w:eastAsia="zh-CN"/>
              </w:rPr>
              <w:t>5</w:t>
            </w:r>
            <w:r>
              <w:rPr>
                <w:rFonts w:hint="default" w:ascii="Times New Roman" w:hAnsi="Times New Roman" w:eastAsia="宋体" w:cs="Times New Roman"/>
                <w:b/>
                <w:bCs/>
                <w:color w:val="000000"/>
                <w:sz w:val="24"/>
                <w:szCs w:val="24"/>
                <w:highlight w:val="none"/>
              </w:rPr>
              <w:t xml:space="preserve"> 项目主要</w:t>
            </w:r>
            <w:r>
              <w:rPr>
                <w:rFonts w:hint="default" w:ascii="Times New Roman" w:hAnsi="Times New Roman" w:eastAsia="宋体" w:cs="Times New Roman"/>
                <w:b/>
                <w:bCs/>
                <w:color w:val="000000"/>
                <w:sz w:val="24"/>
                <w:szCs w:val="24"/>
                <w:highlight w:val="none"/>
                <w:lang w:eastAsia="zh-CN"/>
              </w:rPr>
              <w:t>原辅材料及能源消耗表</w:t>
            </w:r>
          </w:p>
          <w:tbl>
            <w:tblPr>
              <w:tblStyle w:val="25"/>
              <w:tblW w:w="492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41"/>
              <w:gridCol w:w="1404"/>
              <w:gridCol w:w="756"/>
              <w:gridCol w:w="648"/>
              <w:gridCol w:w="1404"/>
              <w:gridCol w:w="2065"/>
            </w:tblGrid>
            <w:tr w14:paraId="2CE3BC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5" w:type="pct"/>
                  <w:tcBorders>
                    <w:tl2br w:val="nil"/>
                    <w:tr2bl w:val="nil"/>
                  </w:tcBorders>
                  <w:noWrap w:val="0"/>
                  <w:vAlign w:val="center"/>
                </w:tcPr>
                <w:p w14:paraId="0F44C7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rPr>
                    <w:t>主要原辅材料</w:t>
                  </w:r>
                </w:p>
              </w:tc>
              <w:tc>
                <w:tcPr>
                  <w:tcW w:w="897" w:type="pct"/>
                  <w:tcBorders>
                    <w:tl2br w:val="nil"/>
                    <w:tr2bl w:val="nil"/>
                  </w:tcBorders>
                  <w:noWrap w:val="0"/>
                  <w:vAlign w:val="center"/>
                </w:tcPr>
                <w:p w14:paraId="635800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eastAsia="zh-CN"/>
                    </w:rPr>
                    <w:t>改扩建</w:t>
                  </w:r>
                  <w:r>
                    <w:rPr>
                      <w:rFonts w:hint="eastAsia" w:ascii="Times New Roman" w:hAnsi="Times New Roman" w:eastAsia="宋体" w:cs="Times New Roman"/>
                      <w:color w:val="000000"/>
                      <w:sz w:val="21"/>
                      <w:szCs w:val="21"/>
                      <w:highlight w:val="none"/>
                      <w:lang w:eastAsia="zh-CN"/>
                    </w:rPr>
                    <w:t>前</w:t>
                  </w:r>
                </w:p>
              </w:tc>
              <w:tc>
                <w:tcPr>
                  <w:tcW w:w="897" w:type="pct"/>
                  <w:gridSpan w:val="2"/>
                  <w:tcBorders>
                    <w:tl2br w:val="nil"/>
                    <w:tr2bl w:val="nil"/>
                  </w:tcBorders>
                  <w:noWrap w:val="0"/>
                  <w:vAlign w:val="center"/>
                </w:tcPr>
                <w:p w14:paraId="6EB387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sz w:val="21"/>
                      <w:szCs w:val="21"/>
                      <w:highlight w:val="none"/>
                      <w:lang w:eastAsia="zh-CN"/>
                    </w:rPr>
                  </w:pPr>
                  <w:r>
                    <w:rPr>
                      <w:rFonts w:hint="eastAsia" w:cs="Times New Roman"/>
                      <w:color w:val="000000"/>
                      <w:sz w:val="21"/>
                      <w:szCs w:val="21"/>
                      <w:highlight w:val="none"/>
                      <w:lang w:eastAsia="zh-CN"/>
                    </w:rPr>
                    <w:t>改扩建</w:t>
                  </w:r>
                  <w:r>
                    <w:rPr>
                      <w:rFonts w:hint="eastAsia" w:ascii="Times New Roman" w:hAnsi="Times New Roman" w:eastAsia="宋体" w:cs="Times New Roman"/>
                      <w:color w:val="000000"/>
                      <w:sz w:val="21"/>
                      <w:szCs w:val="21"/>
                      <w:highlight w:val="none"/>
                      <w:lang w:eastAsia="zh-CN"/>
                    </w:rPr>
                    <w:t>后</w:t>
                  </w:r>
                </w:p>
              </w:tc>
              <w:tc>
                <w:tcPr>
                  <w:tcW w:w="897" w:type="pct"/>
                  <w:tcBorders>
                    <w:tl2br w:val="nil"/>
                    <w:tr2bl w:val="nil"/>
                  </w:tcBorders>
                  <w:noWrap w:val="0"/>
                  <w:vAlign w:val="center"/>
                </w:tcPr>
                <w:p w14:paraId="207920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最大储存量</w:t>
                  </w:r>
                </w:p>
              </w:tc>
              <w:tc>
                <w:tcPr>
                  <w:tcW w:w="1320" w:type="pct"/>
                  <w:tcBorders>
                    <w:tl2br w:val="nil"/>
                    <w:tr2bl w:val="nil"/>
                  </w:tcBorders>
                  <w:noWrap w:val="0"/>
                  <w:vAlign w:val="center"/>
                </w:tcPr>
                <w:p w14:paraId="3AECD3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eastAsia="zh-CN"/>
                    </w:rPr>
                    <w:t>物质形态</w:t>
                  </w:r>
                </w:p>
              </w:tc>
            </w:tr>
            <w:tr w14:paraId="745538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0C9279B4">
                  <w:pPr>
                    <w:pStyle w:val="69"/>
                    <w:widowControl/>
                    <w:rPr>
                      <w:rFonts w:hint="default" w:ascii="Times New Roman" w:hAnsi="Times New Roman" w:eastAsia="宋体" w:cs="Times New Roman"/>
                      <w:bCs w:val="0"/>
                      <w:color w:val="000000"/>
                      <w:kern w:val="2"/>
                      <w:sz w:val="21"/>
                      <w:szCs w:val="21"/>
                      <w:highlight w:val="none"/>
                      <w:lang w:val="en-US" w:eastAsia="zh-CN" w:bidi="zh-CN"/>
                    </w:rPr>
                  </w:pPr>
                  <w:r>
                    <w:rPr>
                      <w:rFonts w:hint="eastAsia" w:ascii="Times New Roman" w:hAnsi="Times New Roman" w:cs="Times New Roman"/>
                      <w:bCs w:val="0"/>
                      <w:color w:val="000000"/>
                      <w:kern w:val="2"/>
                      <w:sz w:val="21"/>
                      <w:szCs w:val="21"/>
                      <w:highlight w:val="none"/>
                      <w:lang w:val="en-US" w:eastAsia="zh-CN"/>
                    </w:rPr>
                    <w:t xml:space="preserve"> </w:t>
                  </w:r>
                </w:p>
              </w:tc>
              <w:tc>
                <w:tcPr>
                  <w:tcW w:w="1404" w:type="dxa"/>
                  <w:tcBorders>
                    <w:tl2br w:val="nil"/>
                    <w:tr2bl w:val="nil"/>
                  </w:tcBorders>
                  <w:noWrap w:val="0"/>
                  <w:vAlign w:val="center"/>
                </w:tcPr>
                <w:p w14:paraId="70CE1982">
                  <w:pPr>
                    <w:widowControl/>
                    <w:jc w:val="center"/>
                    <w:textAlignment w:val="center"/>
                    <w:rPr>
                      <w:rFonts w:hint="default" w:ascii="Times New Roman" w:hAnsi="Times New Roman" w:eastAsia="宋体" w:cs="Times New Roman"/>
                      <w:bCs w:val="0"/>
                      <w:color w:val="000000"/>
                      <w:kern w:val="2"/>
                      <w:sz w:val="21"/>
                      <w:szCs w:val="21"/>
                      <w:highlight w:val="none"/>
                      <w:lang w:val="en-US" w:eastAsia="zh-CN" w:bidi="zh-CN"/>
                    </w:rPr>
                  </w:pPr>
                </w:p>
              </w:tc>
              <w:tc>
                <w:tcPr>
                  <w:tcW w:w="1404" w:type="dxa"/>
                  <w:gridSpan w:val="2"/>
                  <w:tcBorders>
                    <w:tl2br w:val="nil"/>
                    <w:tr2bl w:val="nil"/>
                  </w:tcBorders>
                  <w:noWrap w:val="0"/>
                  <w:vAlign w:val="center"/>
                </w:tcPr>
                <w:p w14:paraId="5BB4AEE7">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tcBorders>
                    <w:tl2br w:val="nil"/>
                    <w:tr2bl w:val="nil"/>
                  </w:tcBorders>
                  <w:noWrap w:val="0"/>
                  <w:vAlign w:val="center"/>
                </w:tcPr>
                <w:p w14:paraId="6AFCD6AD">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3D74EA28">
                  <w:pPr>
                    <w:widowControl/>
                    <w:jc w:val="center"/>
                    <w:textAlignment w:val="center"/>
                    <w:rPr>
                      <w:rFonts w:hint="default" w:ascii="Times New Roman" w:hAnsi="Times New Roman" w:eastAsia="宋体" w:cs="Times New Roman"/>
                      <w:color w:val="000000"/>
                      <w:spacing w:val="0"/>
                      <w:sz w:val="21"/>
                      <w:szCs w:val="21"/>
                      <w:highlight w:val="none"/>
                      <w:lang w:val="en-US" w:eastAsia="zh-CN" w:bidi="zh-CN"/>
                    </w:rPr>
                  </w:pPr>
                </w:p>
              </w:tc>
            </w:tr>
            <w:tr w14:paraId="2541F7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6ECBAB8D">
                  <w:pPr>
                    <w:pStyle w:val="69"/>
                    <w:widowControl/>
                    <w:rPr>
                      <w:rFonts w:hint="eastAsia" w:ascii="Times New Roman" w:hAnsi="Times New Roman" w:eastAsia="宋体" w:cs="Times New Roman"/>
                      <w:bCs w:val="0"/>
                      <w:color w:val="000000"/>
                      <w:kern w:val="2"/>
                      <w:sz w:val="21"/>
                      <w:szCs w:val="21"/>
                      <w:highlight w:val="none"/>
                      <w:lang w:val="en-US" w:eastAsia="zh-CN" w:bidi="zh-CN"/>
                    </w:rPr>
                  </w:pPr>
                  <w:r>
                    <w:rPr>
                      <w:rFonts w:hint="eastAsia" w:ascii="Times New Roman" w:hAnsi="Times New Roman" w:cs="Times New Roman"/>
                      <w:bCs w:val="0"/>
                      <w:color w:val="000000"/>
                      <w:kern w:val="2"/>
                      <w:sz w:val="21"/>
                      <w:szCs w:val="21"/>
                      <w:highlight w:val="none"/>
                      <w:lang w:val="en-US" w:eastAsia="zh-CN"/>
                    </w:rPr>
                    <w:t xml:space="preserve"> </w:t>
                  </w:r>
                </w:p>
              </w:tc>
              <w:tc>
                <w:tcPr>
                  <w:tcW w:w="1404" w:type="dxa"/>
                  <w:tcBorders>
                    <w:tl2br w:val="nil"/>
                    <w:tr2bl w:val="nil"/>
                  </w:tcBorders>
                  <w:noWrap w:val="0"/>
                  <w:vAlign w:val="center"/>
                </w:tcPr>
                <w:p w14:paraId="6F56FBDC">
                  <w:pPr>
                    <w:widowControl/>
                    <w:jc w:val="center"/>
                    <w:textAlignment w:val="center"/>
                    <w:rPr>
                      <w:rFonts w:hint="default" w:ascii="Times New Roman" w:hAnsi="Times New Roman" w:eastAsia="宋体" w:cs="Times New Roman"/>
                      <w:bCs w:val="0"/>
                      <w:color w:val="000000"/>
                      <w:kern w:val="2"/>
                      <w:sz w:val="21"/>
                      <w:szCs w:val="21"/>
                      <w:highlight w:val="none"/>
                      <w:lang w:val="en-US" w:eastAsia="zh-CN" w:bidi="zh-CN"/>
                    </w:rPr>
                  </w:pPr>
                </w:p>
              </w:tc>
              <w:tc>
                <w:tcPr>
                  <w:tcW w:w="1404" w:type="dxa"/>
                  <w:gridSpan w:val="2"/>
                  <w:tcBorders>
                    <w:tl2br w:val="nil"/>
                    <w:tr2bl w:val="nil"/>
                  </w:tcBorders>
                  <w:noWrap w:val="0"/>
                  <w:vAlign w:val="center"/>
                </w:tcPr>
                <w:p w14:paraId="5C9B6068">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tcBorders>
                    <w:tl2br w:val="nil"/>
                    <w:tr2bl w:val="nil"/>
                  </w:tcBorders>
                  <w:noWrap w:val="0"/>
                  <w:vAlign w:val="center"/>
                </w:tcPr>
                <w:p w14:paraId="65C04435">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588EC7F4">
                  <w:pPr>
                    <w:widowControl/>
                    <w:jc w:val="center"/>
                    <w:textAlignment w:val="center"/>
                    <w:rPr>
                      <w:rFonts w:hint="eastAsia" w:ascii="Times New Roman" w:hAnsi="Times New Roman" w:eastAsia="宋体" w:cs="Times New Roman"/>
                      <w:bCs w:val="0"/>
                      <w:color w:val="000000"/>
                      <w:kern w:val="2"/>
                      <w:sz w:val="21"/>
                      <w:szCs w:val="21"/>
                      <w:highlight w:val="none"/>
                      <w:lang w:val="en-US" w:eastAsia="zh-CN" w:bidi="zh-CN"/>
                    </w:rPr>
                  </w:pPr>
                </w:p>
              </w:tc>
            </w:tr>
            <w:tr w14:paraId="0FB103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22B31C59">
                  <w:pPr>
                    <w:pStyle w:val="69"/>
                    <w:widowControl/>
                    <w:rPr>
                      <w:rFonts w:hint="eastAsia" w:ascii="Times New Roman" w:hAnsi="Times New Roman" w:eastAsia="宋体" w:cs="Times New Roman"/>
                      <w:bCs w:val="0"/>
                      <w:color w:val="000000"/>
                      <w:kern w:val="2"/>
                      <w:sz w:val="21"/>
                      <w:szCs w:val="21"/>
                      <w:highlight w:val="none"/>
                      <w:lang w:val="en-US" w:eastAsia="zh-CN" w:bidi="zh-CN"/>
                    </w:rPr>
                  </w:pPr>
                  <w:r>
                    <w:rPr>
                      <w:rFonts w:hint="eastAsia" w:ascii="Times New Roman" w:hAnsi="Times New Roman" w:cs="Times New Roman"/>
                      <w:bCs w:val="0"/>
                      <w:color w:val="000000"/>
                      <w:kern w:val="2"/>
                      <w:sz w:val="21"/>
                      <w:szCs w:val="21"/>
                      <w:highlight w:val="none"/>
                      <w:lang w:val="en-US" w:eastAsia="zh-CN"/>
                    </w:rPr>
                    <w:t xml:space="preserve"> </w:t>
                  </w:r>
                </w:p>
              </w:tc>
              <w:tc>
                <w:tcPr>
                  <w:tcW w:w="1404" w:type="dxa"/>
                  <w:tcBorders>
                    <w:tl2br w:val="nil"/>
                    <w:tr2bl w:val="nil"/>
                  </w:tcBorders>
                  <w:noWrap w:val="0"/>
                  <w:vAlign w:val="center"/>
                </w:tcPr>
                <w:p w14:paraId="5A70D868">
                  <w:pPr>
                    <w:widowControl/>
                    <w:jc w:val="center"/>
                    <w:textAlignment w:val="center"/>
                    <w:rPr>
                      <w:rFonts w:hint="default" w:ascii="Times New Roman" w:hAnsi="Times New Roman" w:eastAsia="宋体" w:cs="Times New Roman"/>
                      <w:bCs w:val="0"/>
                      <w:color w:val="000000"/>
                      <w:kern w:val="2"/>
                      <w:sz w:val="21"/>
                      <w:szCs w:val="21"/>
                      <w:highlight w:val="none"/>
                      <w:lang w:val="en-US" w:eastAsia="zh-CN" w:bidi="zh-CN"/>
                    </w:rPr>
                  </w:pPr>
                </w:p>
              </w:tc>
              <w:tc>
                <w:tcPr>
                  <w:tcW w:w="1404" w:type="dxa"/>
                  <w:gridSpan w:val="2"/>
                  <w:tcBorders>
                    <w:tl2br w:val="nil"/>
                    <w:tr2bl w:val="nil"/>
                  </w:tcBorders>
                  <w:noWrap w:val="0"/>
                  <w:vAlign w:val="center"/>
                </w:tcPr>
                <w:p w14:paraId="48CFC0AD">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tcBorders>
                    <w:tl2br w:val="nil"/>
                    <w:tr2bl w:val="nil"/>
                  </w:tcBorders>
                  <w:noWrap w:val="0"/>
                  <w:vAlign w:val="center"/>
                </w:tcPr>
                <w:p w14:paraId="053AFB1D">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4C6A2FA9">
                  <w:pPr>
                    <w:widowControl/>
                    <w:jc w:val="center"/>
                    <w:textAlignment w:val="center"/>
                    <w:rPr>
                      <w:rFonts w:hint="eastAsia" w:ascii="Times New Roman" w:hAnsi="Times New Roman" w:eastAsia="宋体" w:cs="Times New Roman"/>
                      <w:bCs w:val="0"/>
                      <w:color w:val="000000"/>
                      <w:kern w:val="2"/>
                      <w:sz w:val="21"/>
                      <w:szCs w:val="21"/>
                      <w:highlight w:val="none"/>
                      <w:lang w:val="en-US" w:eastAsia="zh-CN" w:bidi="zh-CN"/>
                    </w:rPr>
                  </w:pPr>
                </w:p>
              </w:tc>
            </w:tr>
            <w:tr w14:paraId="17FDBC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635C4CFA">
                  <w:pPr>
                    <w:pStyle w:val="69"/>
                    <w:widowControl/>
                    <w:rPr>
                      <w:rFonts w:hint="eastAsia" w:ascii="Times New Roman" w:hAnsi="Times New Roman" w:eastAsia="宋体" w:cs="Times New Roman"/>
                      <w:bCs w:val="0"/>
                      <w:color w:val="000000"/>
                      <w:kern w:val="2"/>
                      <w:sz w:val="21"/>
                      <w:szCs w:val="21"/>
                      <w:highlight w:val="none"/>
                      <w:lang w:val="en-US" w:eastAsia="zh-CN" w:bidi="zh-CN"/>
                    </w:rPr>
                  </w:pPr>
                  <w:r>
                    <w:rPr>
                      <w:rFonts w:hint="eastAsia" w:ascii="Times New Roman" w:hAnsi="Times New Roman" w:cs="Times New Roman"/>
                      <w:bCs w:val="0"/>
                      <w:color w:val="000000"/>
                      <w:kern w:val="2"/>
                      <w:sz w:val="21"/>
                      <w:szCs w:val="21"/>
                      <w:highlight w:val="none"/>
                      <w:lang w:val="en-US" w:eastAsia="zh-CN"/>
                    </w:rPr>
                    <w:t xml:space="preserve"> </w:t>
                  </w:r>
                </w:p>
              </w:tc>
              <w:tc>
                <w:tcPr>
                  <w:tcW w:w="1404" w:type="dxa"/>
                  <w:tcBorders>
                    <w:tl2br w:val="nil"/>
                    <w:tr2bl w:val="nil"/>
                  </w:tcBorders>
                  <w:noWrap w:val="0"/>
                  <w:vAlign w:val="center"/>
                </w:tcPr>
                <w:p w14:paraId="236A6007">
                  <w:pPr>
                    <w:widowControl/>
                    <w:jc w:val="center"/>
                    <w:textAlignment w:val="center"/>
                    <w:rPr>
                      <w:rFonts w:hint="default" w:ascii="Times New Roman" w:hAnsi="Times New Roman" w:eastAsia="宋体" w:cs="Times New Roman"/>
                      <w:bCs w:val="0"/>
                      <w:color w:val="000000"/>
                      <w:kern w:val="2"/>
                      <w:sz w:val="21"/>
                      <w:szCs w:val="21"/>
                      <w:highlight w:val="none"/>
                      <w:lang w:val="en-US" w:eastAsia="zh-CN" w:bidi="zh-CN"/>
                    </w:rPr>
                  </w:pPr>
                </w:p>
              </w:tc>
              <w:tc>
                <w:tcPr>
                  <w:tcW w:w="1404" w:type="dxa"/>
                  <w:gridSpan w:val="2"/>
                  <w:tcBorders>
                    <w:tl2br w:val="nil"/>
                    <w:tr2bl w:val="nil"/>
                  </w:tcBorders>
                  <w:noWrap w:val="0"/>
                  <w:vAlign w:val="center"/>
                </w:tcPr>
                <w:p w14:paraId="15E71873">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tcBorders>
                    <w:tl2br w:val="nil"/>
                    <w:tr2bl w:val="nil"/>
                  </w:tcBorders>
                  <w:noWrap w:val="0"/>
                  <w:vAlign w:val="center"/>
                </w:tcPr>
                <w:p w14:paraId="73CBE567">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0733468F">
                  <w:pPr>
                    <w:widowControl/>
                    <w:jc w:val="center"/>
                    <w:textAlignment w:val="center"/>
                    <w:rPr>
                      <w:rFonts w:hint="eastAsia" w:ascii="Times New Roman" w:hAnsi="Times New Roman" w:eastAsia="宋体" w:cs="Times New Roman"/>
                      <w:bCs w:val="0"/>
                      <w:color w:val="000000"/>
                      <w:kern w:val="2"/>
                      <w:sz w:val="21"/>
                      <w:szCs w:val="21"/>
                      <w:highlight w:val="none"/>
                      <w:lang w:val="en-US" w:eastAsia="zh-CN" w:bidi="zh-CN"/>
                    </w:rPr>
                  </w:pPr>
                </w:p>
              </w:tc>
            </w:tr>
            <w:tr w14:paraId="78BA86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65CC058F">
                  <w:pPr>
                    <w:pStyle w:val="69"/>
                    <w:widowControl/>
                    <w:rPr>
                      <w:rFonts w:hint="eastAsia" w:ascii="Times New Roman" w:hAnsi="Times New Roman" w:eastAsia="宋体" w:cs="Times New Roman"/>
                      <w:bCs w:val="0"/>
                      <w:color w:val="000000"/>
                      <w:kern w:val="2"/>
                      <w:sz w:val="21"/>
                      <w:szCs w:val="21"/>
                      <w:highlight w:val="none"/>
                      <w:lang w:val="en-US" w:eastAsia="zh-CN" w:bidi="zh-CN"/>
                    </w:rPr>
                  </w:pPr>
                  <w:r>
                    <w:rPr>
                      <w:rFonts w:hint="eastAsia" w:ascii="Times New Roman" w:hAnsi="Times New Roman" w:cs="Times New Roman"/>
                      <w:bCs w:val="0"/>
                      <w:color w:val="000000"/>
                      <w:kern w:val="2"/>
                      <w:sz w:val="21"/>
                      <w:szCs w:val="21"/>
                      <w:highlight w:val="none"/>
                      <w:lang w:val="en-US" w:eastAsia="zh-CN"/>
                    </w:rPr>
                    <w:t xml:space="preserve"> </w:t>
                  </w:r>
                </w:p>
              </w:tc>
              <w:tc>
                <w:tcPr>
                  <w:tcW w:w="1404" w:type="dxa"/>
                  <w:tcBorders>
                    <w:tl2br w:val="nil"/>
                    <w:tr2bl w:val="nil"/>
                  </w:tcBorders>
                  <w:noWrap w:val="0"/>
                  <w:vAlign w:val="center"/>
                </w:tcPr>
                <w:p w14:paraId="28C49311">
                  <w:pPr>
                    <w:widowControl/>
                    <w:jc w:val="center"/>
                    <w:textAlignment w:val="center"/>
                    <w:rPr>
                      <w:rFonts w:hint="default" w:ascii="Times New Roman" w:hAnsi="Times New Roman" w:eastAsia="宋体" w:cs="Times New Roman"/>
                      <w:bCs w:val="0"/>
                      <w:color w:val="000000"/>
                      <w:kern w:val="2"/>
                      <w:sz w:val="21"/>
                      <w:szCs w:val="21"/>
                      <w:highlight w:val="none"/>
                      <w:lang w:val="en-US" w:eastAsia="zh-CN" w:bidi="zh-CN"/>
                    </w:rPr>
                  </w:pPr>
                </w:p>
              </w:tc>
              <w:tc>
                <w:tcPr>
                  <w:tcW w:w="1404" w:type="dxa"/>
                  <w:gridSpan w:val="2"/>
                  <w:tcBorders>
                    <w:tl2br w:val="nil"/>
                    <w:tr2bl w:val="nil"/>
                  </w:tcBorders>
                  <w:noWrap w:val="0"/>
                  <w:vAlign w:val="center"/>
                </w:tcPr>
                <w:p w14:paraId="587FF8AD">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tcBorders>
                    <w:tl2br w:val="nil"/>
                    <w:tr2bl w:val="nil"/>
                  </w:tcBorders>
                  <w:noWrap w:val="0"/>
                  <w:vAlign w:val="center"/>
                </w:tcPr>
                <w:p w14:paraId="76F2B77B">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12B68BED">
                  <w:pPr>
                    <w:widowControl/>
                    <w:jc w:val="center"/>
                    <w:textAlignment w:val="center"/>
                    <w:rPr>
                      <w:rFonts w:hint="eastAsia" w:ascii="Times New Roman" w:hAnsi="Times New Roman" w:eastAsia="宋体" w:cs="Times New Roman"/>
                      <w:bCs w:val="0"/>
                      <w:color w:val="000000"/>
                      <w:kern w:val="2"/>
                      <w:sz w:val="21"/>
                      <w:szCs w:val="21"/>
                      <w:highlight w:val="none"/>
                      <w:lang w:val="en-US" w:eastAsia="zh-CN" w:bidi="zh-CN"/>
                    </w:rPr>
                  </w:pPr>
                </w:p>
              </w:tc>
            </w:tr>
            <w:tr w14:paraId="0A3E3B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3688FDB8">
                  <w:pPr>
                    <w:pStyle w:val="69"/>
                    <w:widowControl/>
                    <w:rPr>
                      <w:rFonts w:hint="eastAsia" w:ascii="Times New Roman" w:hAnsi="Times New Roman" w:eastAsia="宋体" w:cs="Times New Roman"/>
                      <w:bCs w:val="0"/>
                      <w:color w:val="000000"/>
                      <w:kern w:val="2"/>
                      <w:sz w:val="21"/>
                      <w:szCs w:val="21"/>
                      <w:highlight w:val="none"/>
                      <w:lang w:val="en-US" w:eastAsia="zh-CN" w:bidi="zh-CN"/>
                    </w:rPr>
                  </w:pPr>
                  <w:r>
                    <w:rPr>
                      <w:rFonts w:hint="eastAsia" w:ascii="Times New Roman" w:hAnsi="Times New Roman" w:cs="Times New Roman"/>
                      <w:bCs w:val="0"/>
                      <w:color w:val="000000"/>
                      <w:kern w:val="2"/>
                      <w:sz w:val="21"/>
                      <w:szCs w:val="21"/>
                      <w:highlight w:val="none"/>
                      <w:lang w:val="en-US" w:eastAsia="zh-CN"/>
                    </w:rPr>
                    <w:t xml:space="preserve"> </w:t>
                  </w:r>
                </w:p>
              </w:tc>
              <w:tc>
                <w:tcPr>
                  <w:tcW w:w="1404" w:type="dxa"/>
                  <w:tcBorders>
                    <w:tl2br w:val="nil"/>
                    <w:tr2bl w:val="nil"/>
                  </w:tcBorders>
                  <w:noWrap w:val="0"/>
                  <w:vAlign w:val="center"/>
                </w:tcPr>
                <w:p w14:paraId="07F589E1">
                  <w:pPr>
                    <w:widowControl/>
                    <w:jc w:val="center"/>
                    <w:textAlignment w:val="center"/>
                    <w:rPr>
                      <w:rFonts w:hint="default" w:ascii="Times New Roman" w:hAnsi="Times New Roman" w:eastAsia="宋体" w:cs="Times New Roman"/>
                      <w:bCs w:val="0"/>
                      <w:color w:val="000000"/>
                      <w:kern w:val="2"/>
                      <w:sz w:val="21"/>
                      <w:szCs w:val="21"/>
                      <w:highlight w:val="none"/>
                      <w:lang w:val="en-US" w:eastAsia="zh-CN" w:bidi="zh-CN"/>
                    </w:rPr>
                  </w:pPr>
                </w:p>
              </w:tc>
              <w:tc>
                <w:tcPr>
                  <w:tcW w:w="1404" w:type="dxa"/>
                  <w:gridSpan w:val="2"/>
                  <w:tcBorders>
                    <w:tl2br w:val="nil"/>
                    <w:tr2bl w:val="nil"/>
                  </w:tcBorders>
                  <w:noWrap w:val="0"/>
                  <w:vAlign w:val="center"/>
                </w:tcPr>
                <w:p w14:paraId="379BD455">
                  <w:pPr>
                    <w:widowControl/>
                    <w:jc w:val="center"/>
                    <w:textAlignment w:val="center"/>
                    <w:rPr>
                      <w:rFonts w:hint="eastAsia" w:ascii="Times New Roman" w:hAnsi="Times New Roman" w:eastAsia="宋体" w:cs="Times New Roman"/>
                      <w:bCs w:val="0"/>
                      <w:color w:val="000000"/>
                      <w:kern w:val="2"/>
                      <w:sz w:val="21"/>
                      <w:szCs w:val="21"/>
                      <w:highlight w:val="none"/>
                      <w:lang w:bidi="zh-CN"/>
                    </w:rPr>
                  </w:pPr>
                </w:p>
              </w:tc>
              <w:tc>
                <w:tcPr>
                  <w:tcW w:w="1404" w:type="dxa"/>
                  <w:tcBorders>
                    <w:tl2br w:val="nil"/>
                    <w:tr2bl w:val="nil"/>
                  </w:tcBorders>
                  <w:noWrap w:val="0"/>
                  <w:vAlign w:val="center"/>
                </w:tcPr>
                <w:p w14:paraId="5BADA1E1">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1A27140E">
                  <w:pPr>
                    <w:widowControl/>
                    <w:jc w:val="center"/>
                    <w:textAlignment w:val="center"/>
                    <w:rPr>
                      <w:rFonts w:hint="eastAsia" w:ascii="Times New Roman" w:hAnsi="Times New Roman" w:eastAsia="宋体" w:cs="Times New Roman"/>
                      <w:bCs w:val="0"/>
                      <w:color w:val="000000"/>
                      <w:kern w:val="2"/>
                      <w:sz w:val="21"/>
                      <w:szCs w:val="21"/>
                      <w:highlight w:val="none"/>
                      <w:lang w:val="en-US" w:eastAsia="zh-CN" w:bidi="zh-CN"/>
                    </w:rPr>
                  </w:pPr>
                </w:p>
              </w:tc>
            </w:tr>
            <w:tr w14:paraId="71693A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3F448CCA">
                  <w:pPr>
                    <w:pStyle w:val="69"/>
                    <w:widowControl/>
                    <w:rPr>
                      <w:rFonts w:hint="eastAsia" w:ascii="Times New Roman" w:hAnsi="Times New Roman" w:eastAsia="宋体" w:cs="Times New Roman"/>
                      <w:bCs w:val="0"/>
                      <w:color w:val="000000"/>
                      <w:kern w:val="2"/>
                      <w:sz w:val="21"/>
                      <w:szCs w:val="21"/>
                      <w:highlight w:val="none"/>
                      <w:lang w:val="en-US" w:eastAsia="zh-CN" w:bidi="zh-CN"/>
                    </w:rPr>
                  </w:pPr>
                  <w:r>
                    <w:rPr>
                      <w:rFonts w:hint="eastAsia" w:ascii="Times New Roman" w:hAnsi="Times New Roman" w:cs="Times New Roman"/>
                      <w:bCs w:val="0"/>
                      <w:color w:val="000000"/>
                      <w:kern w:val="2"/>
                      <w:sz w:val="21"/>
                      <w:szCs w:val="21"/>
                      <w:highlight w:val="none"/>
                      <w:lang w:val="en-US" w:eastAsia="zh-CN"/>
                    </w:rPr>
                    <w:t xml:space="preserve"> </w:t>
                  </w:r>
                </w:p>
              </w:tc>
              <w:tc>
                <w:tcPr>
                  <w:tcW w:w="1404" w:type="dxa"/>
                  <w:tcBorders>
                    <w:tl2br w:val="nil"/>
                    <w:tr2bl w:val="nil"/>
                  </w:tcBorders>
                  <w:noWrap w:val="0"/>
                  <w:vAlign w:val="center"/>
                </w:tcPr>
                <w:p w14:paraId="766C7A1E">
                  <w:pPr>
                    <w:widowControl/>
                    <w:jc w:val="center"/>
                    <w:textAlignment w:val="center"/>
                    <w:rPr>
                      <w:rFonts w:hint="default" w:ascii="Times New Roman" w:hAnsi="Times New Roman" w:eastAsia="宋体" w:cs="Times New Roman"/>
                      <w:bCs w:val="0"/>
                      <w:color w:val="000000"/>
                      <w:kern w:val="2"/>
                      <w:sz w:val="21"/>
                      <w:szCs w:val="21"/>
                      <w:highlight w:val="none"/>
                      <w:lang w:val="en-US" w:eastAsia="zh-CN" w:bidi="zh-CN"/>
                    </w:rPr>
                  </w:pPr>
                </w:p>
              </w:tc>
              <w:tc>
                <w:tcPr>
                  <w:tcW w:w="1404" w:type="dxa"/>
                  <w:gridSpan w:val="2"/>
                  <w:tcBorders>
                    <w:tl2br w:val="nil"/>
                    <w:tr2bl w:val="nil"/>
                  </w:tcBorders>
                  <w:noWrap w:val="0"/>
                  <w:vAlign w:val="center"/>
                </w:tcPr>
                <w:p w14:paraId="609498B8">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tcBorders>
                    <w:tl2br w:val="nil"/>
                    <w:tr2bl w:val="nil"/>
                  </w:tcBorders>
                  <w:noWrap w:val="0"/>
                  <w:vAlign w:val="center"/>
                </w:tcPr>
                <w:p w14:paraId="3213483B">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1C91C1A2">
                  <w:pPr>
                    <w:widowControl/>
                    <w:jc w:val="center"/>
                    <w:textAlignment w:val="center"/>
                    <w:rPr>
                      <w:rFonts w:hint="eastAsia" w:ascii="Times New Roman" w:hAnsi="Times New Roman" w:eastAsia="宋体" w:cs="Times New Roman"/>
                      <w:bCs w:val="0"/>
                      <w:color w:val="000000"/>
                      <w:kern w:val="2"/>
                      <w:sz w:val="21"/>
                      <w:szCs w:val="21"/>
                      <w:highlight w:val="none"/>
                      <w:lang w:val="en-US" w:eastAsia="zh-CN" w:bidi="zh-CN"/>
                    </w:rPr>
                  </w:pPr>
                </w:p>
              </w:tc>
            </w:tr>
            <w:tr w14:paraId="45C4A3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2171DA10">
                  <w:pPr>
                    <w:pStyle w:val="69"/>
                    <w:widowControl/>
                    <w:rPr>
                      <w:rFonts w:hint="eastAsia" w:ascii="Times New Roman" w:hAnsi="Times New Roman" w:eastAsia="宋体" w:cs="Times New Roman"/>
                      <w:bCs w:val="0"/>
                      <w:color w:val="000000"/>
                      <w:kern w:val="2"/>
                      <w:sz w:val="21"/>
                      <w:szCs w:val="21"/>
                      <w:highlight w:val="none"/>
                      <w:lang w:val="en-US" w:eastAsia="zh-CN" w:bidi="zh-CN"/>
                    </w:rPr>
                  </w:pPr>
                  <w:r>
                    <w:rPr>
                      <w:rFonts w:hint="eastAsia" w:ascii="Times New Roman" w:hAnsi="Times New Roman" w:cs="Times New Roman"/>
                      <w:bCs w:val="0"/>
                      <w:color w:val="000000"/>
                      <w:kern w:val="2"/>
                      <w:sz w:val="21"/>
                      <w:szCs w:val="21"/>
                      <w:highlight w:val="none"/>
                      <w:lang w:val="en-US" w:eastAsia="zh-CN"/>
                    </w:rPr>
                    <w:t xml:space="preserve"> </w:t>
                  </w:r>
                </w:p>
              </w:tc>
              <w:tc>
                <w:tcPr>
                  <w:tcW w:w="1404" w:type="dxa"/>
                  <w:tcBorders>
                    <w:tl2br w:val="nil"/>
                    <w:tr2bl w:val="nil"/>
                  </w:tcBorders>
                  <w:noWrap w:val="0"/>
                  <w:vAlign w:val="center"/>
                </w:tcPr>
                <w:p w14:paraId="5BED9F90">
                  <w:pPr>
                    <w:widowControl/>
                    <w:jc w:val="center"/>
                    <w:textAlignment w:val="center"/>
                    <w:rPr>
                      <w:rFonts w:hint="default" w:ascii="Times New Roman" w:hAnsi="Times New Roman" w:eastAsia="宋体" w:cs="Times New Roman"/>
                      <w:bCs w:val="0"/>
                      <w:color w:val="000000"/>
                      <w:kern w:val="2"/>
                      <w:sz w:val="21"/>
                      <w:szCs w:val="21"/>
                      <w:highlight w:val="none"/>
                      <w:lang w:val="en-US" w:eastAsia="zh-CN" w:bidi="zh-CN"/>
                    </w:rPr>
                  </w:pPr>
                </w:p>
              </w:tc>
              <w:tc>
                <w:tcPr>
                  <w:tcW w:w="1404" w:type="dxa"/>
                  <w:gridSpan w:val="2"/>
                  <w:tcBorders>
                    <w:tl2br w:val="nil"/>
                    <w:tr2bl w:val="nil"/>
                  </w:tcBorders>
                  <w:noWrap w:val="0"/>
                  <w:vAlign w:val="center"/>
                </w:tcPr>
                <w:p w14:paraId="2D52B8C7">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tcBorders>
                    <w:tl2br w:val="nil"/>
                    <w:tr2bl w:val="nil"/>
                  </w:tcBorders>
                  <w:noWrap w:val="0"/>
                  <w:vAlign w:val="center"/>
                </w:tcPr>
                <w:p w14:paraId="325DC837">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411CC94B">
                  <w:pPr>
                    <w:widowControl/>
                    <w:jc w:val="center"/>
                    <w:textAlignment w:val="center"/>
                    <w:rPr>
                      <w:rFonts w:hint="eastAsia" w:ascii="Times New Roman" w:hAnsi="Times New Roman" w:eastAsia="宋体" w:cs="Times New Roman"/>
                      <w:bCs w:val="0"/>
                      <w:color w:val="000000"/>
                      <w:kern w:val="2"/>
                      <w:sz w:val="21"/>
                      <w:szCs w:val="21"/>
                      <w:highlight w:val="none"/>
                      <w:lang w:val="en-US" w:eastAsia="zh-CN" w:bidi="zh-CN"/>
                    </w:rPr>
                  </w:pPr>
                </w:p>
              </w:tc>
            </w:tr>
            <w:tr w14:paraId="071E53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2EC7C4B9">
                  <w:pPr>
                    <w:pStyle w:val="69"/>
                    <w:widowControl/>
                    <w:rPr>
                      <w:rFonts w:hint="eastAsia" w:ascii="Times New Roman" w:hAnsi="Times New Roman" w:eastAsia="宋体" w:cs="Times New Roman"/>
                      <w:bCs w:val="0"/>
                      <w:color w:val="000000"/>
                      <w:kern w:val="2"/>
                      <w:sz w:val="21"/>
                      <w:szCs w:val="21"/>
                      <w:highlight w:val="none"/>
                      <w:lang w:bidi="zh-CN"/>
                    </w:rPr>
                  </w:pPr>
                  <w:r>
                    <w:rPr>
                      <w:rFonts w:hint="eastAsia" w:ascii="Times New Roman" w:hAnsi="Times New Roman" w:cs="Times New Roman"/>
                      <w:bCs w:val="0"/>
                      <w:color w:val="000000"/>
                      <w:kern w:val="2"/>
                      <w:sz w:val="21"/>
                      <w:szCs w:val="21"/>
                      <w:highlight w:val="none"/>
                      <w:lang w:val="en-US" w:eastAsia="zh-CN"/>
                    </w:rPr>
                    <w:t xml:space="preserve"> </w:t>
                  </w:r>
                </w:p>
              </w:tc>
              <w:tc>
                <w:tcPr>
                  <w:tcW w:w="1404" w:type="dxa"/>
                  <w:tcBorders>
                    <w:tl2br w:val="nil"/>
                    <w:tr2bl w:val="nil"/>
                  </w:tcBorders>
                  <w:noWrap w:val="0"/>
                  <w:vAlign w:val="center"/>
                </w:tcPr>
                <w:p w14:paraId="61B501C8">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gridSpan w:val="2"/>
                  <w:tcBorders>
                    <w:tl2br w:val="nil"/>
                    <w:tr2bl w:val="nil"/>
                  </w:tcBorders>
                  <w:noWrap w:val="0"/>
                  <w:vAlign w:val="center"/>
                </w:tcPr>
                <w:p w14:paraId="7EAC1ACD">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tcBorders>
                    <w:tl2br w:val="nil"/>
                    <w:tr2bl w:val="nil"/>
                  </w:tcBorders>
                  <w:noWrap w:val="0"/>
                  <w:vAlign w:val="center"/>
                </w:tcPr>
                <w:p w14:paraId="0C95C054">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04B209C2">
                  <w:pPr>
                    <w:widowControl/>
                    <w:jc w:val="center"/>
                    <w:textAlignment w:val="center"/>
                    <w:rPr>
                      <w:rFonts w:hint="eastAsia" w:ascii="Times New Roman" w:hAnsi="Times New Roman" w:eastAsia="宋体" w:cs="Times New Roman"/>
                      <w:bCs w:val="0"/>
                      <w:color w:val="000000"/>
                      <w:kern w:val="2"/>
                      <w:sz w:val="21"/>
                      <w:szCs w:val="21"/>
                      <w:highlight w:val="none"/>
                      <w:lang w:bidi="zh-CN"/>
                    </w:rPr>
                  </w:pPr>
                </w:p>
              </w:tc>
            </w:tr>
            <w:tr w14:paraId="518405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4981CE5D">
                  <w:pPr>
                    <w:pStyle w:val="69"/>
                    <w:widowControl/>
                    <w:rPr>
                      <w:rFonts w:hint="eastAsia" w:ascii="Times New Roman" w:hAnsi="Times New Roman" w:eastAsia="宋体" w:cs="Times New Roman"/>
                      <w:bCs w:val="0"/>
                      <w:color w:val="000000"/>
                      <w:kern w:val="2"/>
                      <w:sz w:val="21"/>
                      <w:szCs w:val="21"/>
                      <w:highlight w:val="none"/>
                      <w:lang w:bidi="zh-CN"/>
                    </w:rPr>
                  </w:pPr>
                  <w:r>
                    <w:rPr>
                      <w:rFonts w:hint="eastAsia" w:ascii="Times New Roman" w:hAnsi="Times New Roman" w:cs="Times New Roman"/>
                      <w:bCs w:val="0"/>
                      <w:color w:val="000000"/>
                      <w:kern w:val="2"/>
                      <w:sz w:val="21"/>
                      <w:szCs w:val="21"/>
                      <w:highlight w:val="none"/>
                      <w:lang w:val="en-US" w:eastAsia="zh-CN"/>
                    </w:rPr>
                    <w:t xml:space="preserve"> </w:t>
                  </w:r>
                </w:p>
              </w:tc>
              <w:tc>
                <w:tcPr>
                  <w:tcW w:w="1404" w:type="dxa"/>
                  <w:tcBorders>
                    <w:tl2br w:val="nil"/>
                    <w:tr2bl w:val="nil"/>
                  </w:tcBorders>
                  <w:noWrap w:val="0"/>
                  <w:vAlign w:val="center"/>
                </w:tcPr>
                <w:p w14:paraId="06A43D9E">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gridSpan w:val="2"/>
                  <w:tcBorders>
                    <w:tl2br w:val="nil"/>
                    <w:tr2bl w:val="nil"/>
                  </w:tcBorders>
                  <w:noWrap w:val="0"/>
                  <w:vAlign w:val="center"/>
                </w:tcPr>
                <w:p w14:paraId="294041B5">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1404" w:type="dxa"/>
                  <w:tcBorders>
                    <w:tl2br w:val="nil"/>
                    <w:tr2bl w:val="nil"/>
                  </w:tcBorders>
                  <w:noWrap w:val="0"/>
                  <w:vAlign w:val="center"/>
                </w:tcPr>
                <w:p w14:paraId="54D7D8D6">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4035C55B">
                  <w:pPr>
                    <w:widowControl/>
                    <w:jc w:val="center"/>
                    <w:textAlignment w:val="center"/>
                    <w:rPr>
                      <w:rFonts w:hint="eastAsia" w:ascii="Times New Roman" w:hAnsi="Times New Roman" w:eastAsia="宋体" w:cs="Times New Roman"/>
                      <w:bCs w:val="0"/>
                      <w:color w:val="000000"/>
                      <w:kern w:val="2"/>
                      <w:sz w:val="21"/>
                      <w:szCs w:val="21"/>
                      <w:highlight w:val="none"/>
                      <w:lang w:bidi="zh-CN"/>
                    </w:rPr>
                  </w:pPr>
                </w:p>
              </w:tc>
            </w:tr>
            <w:tr w14:paraId="257A91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center"/>
                </w:tcPr>
                <w:p w14:paraId="6EFC6862">
                  <w:pPr>
                    <w:widowControl/>
                    <w:jc w:val="center"/>
                    <w:textAlignment w:val="center"/>
                    <w:rPr>
                      <w:rFonts w:hint="eastAsia" w:ascii="Times New Roman" w:hAnsi="Times New Roman" w:eastAsia="宋体" w:cs="Times New Roman"/>
                      <w:bCs w:val="0"/>
                      <w:color w:val="000000"/>
                      <w:kern w:val="2"/>
                      <w:sz w:val="21"/>
                      <w:szCs w:val="21"/>
                      <w:highlight w:val="none"/>
                      <w:lang w:val="en-US" w:eastAsia="zh-CN" w:bidi="zh-CN"/>
                    </w:rPr>
                  </w:pPr>
                  <w:r>
                    <w:rPr>
                      <w:rFonts w:hint="eastAsia" w:ascii="Times New Roman" w:hAnsi="Times New Roman" w:eastAsia="宋体" w:cs="Times New Roman"/>
                      <w:b/>
                      <w:bCs/>
                      <w:color w:val="000000"/>
                      <w:kern w:val="2"/>
                      <w:sz w:val="21"/>
                      <w:szCs w:val="21"/>
                      <w:highlight w:val="none"/>
                      <w:lang w:val="en-US" w:eastAsia="zh-CN" w:bidi="zh-CN"/>
                    </w:rPr>
                    <w:t>主要能源消耗情况</w:t>
                  </w:r>
                </w:p>
              </w:tc>
            </w:tr>
            <w:tr w14:paraId="1D9320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73EC463F">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r>
                    <w:rPr>
                      <w:rFonts w:hint="eastAsia" w:cs="Times New Roman"/>
                      <w:bCs w:val="0"/>
                      <w:color w:val="000000"/>
                      <w:kern w:val="2"/>
                      <w:sz w:val="21"/>
                      <w:szCs w:val="21"/>
                      <w:highlight w:val="none"/>
                      <w:lang w:val="en-US" w:bidi="zh-CN"/>
                    </w:rPr>
                    <w:t xml:space="preserve"> </w:t>
                  </w:r>
                </w:p>
              </w:tc>
              <w:tc>
                <w:tcPr>
                  <w:tcW w:w="2160" w:type="dxa"/>
                  <w:gridSpan w:val="2"/>
                  <w:tcBorders>
                    <w:tl2br w:val="nil"/>
                    <w:tr2bl w:val="nil"/>
                  </w:tcBorders>
                  <w:noWrap w:val="0"/>
                  <w:vAlign w:val="center"/>
                </w:tcPr>
                <w:p w14:paraId="13187E82">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52" w:type="dxa"/>
                  <w:gridSpan w:val="2"/>
                  <w:tcBorders>
                    <w:tl2br w:val="nil"/>
                    <w:tr2bl w:val="nil"/>
                  </w:tcBorders>
                  <w:noWrap w:val="0"/>
                  <w:vAlign w:val="center"/>
                </w:tcPr>
                <w:p w14:paraId="5B401898">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3F55A7F4">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r>
            <w:tr w14:paraId="73B137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6014CFD8">
                  <w:pPr>
                    <w:widowControl/>
                    <w:jc w:val="center"/>
                    <w:textAlignment w:val="center"/>
                    <w:rPr>
                      <w:rFonts w:hint="eastAsia" w:ascii="Times New Roman" w:hAnsi="Times New Roman" w:eastAsia="宋体" w:cs="Times New Roman"/>
                      <w:bCs w:val="0"/>
                      <w:color w:val="000000"/>
                      <w:kern w:val="2"/>
                      <w:sz w:val="21"/>
                      <w:szCs w:val="21"/>
                      <w:highlight w:val="none"/>
                      <w:lang w:val="en-US" w:eastAsia="zh-CN" w:bidi="zh-CN"/>
                    </w:rPr>
                  </w:pPr>
                  <w:r>
                    <w:rPr>
                      <w:rFonts w:hint="eastAsia" w:cs="Times New Roman"/>
                      <w:bCs w:val="0"/>
                      <w:color w:val="000000"/>
                      <w:kern w:val="2"/>
                      <w:sz w:val="21"/>
                      <w:szCs w:val="21"/>
                      <w:highlight w:val="none"/>
                      <w:lang w:val="en-US" w:bidi="zh-CN"/>
                    </w:rPr>
                    <w:t xml:space="preserve"> </w:t>
                  </w:r>
                </w:p>
              </w:tc>
              <w:tc>
                <w:tcPr>
                  <w:tcW w:w="2160" w:type="dxa"/>
                  <w:gridSpan w:val="2"/>
                  <w:tcBorders>
                    <w:tl2br w:val="nil"/>
                    <w:tr2bl w:val="nil"/>
                  </w:tcBorders>
                  <w:noWrap w:val="0"/>
                  <w:vAlign w:val="center"/>
                </w:tcPr>
                <w:p w14:paraId="725585C7">
                  <w:pPr>
                    <w:widowControl/>
                    <w:jc w:val="center"/>
                    <w:textAlignment w:val="center"/>
                    <w:rPr>
                      <w:rFonts w:hint="default" w:ascii="Times New Roman" w:hAnsi="Times New Roman" w:eastAsia="宋体" w:cs="Times New Roman"/>
                      <w:bCs w:val="0"/>
                      <w:color w:val="000000"/>
                      <w:kern w:val="2"/>
                      <w:sz w:val="21"/>
                      <w:szCs w:val="21"/>
                      <w:highlight w:val="none"/>
                      <w:lang w:val="en-US" w:eastAsia="zh-CN" w:bidi="zh-CN"/>
                    </w:rPr>
                  </w:pPr>
                </w:p>
              </w:tc>
              <w:tc>
                <w:tcPr>
                  <w:tcW w:w="2052" w:type="dxa"/>
                  <w:gridSpan w:val="2"/>
                  <w:tcBorders>
                    <w:tl2br w:val="nil"/>
                    <w:tr2bl w:val="nil"/>
                  </w:tcBorders>
                  <w:noWrap w:val="0"/>
                  <w:vAlign w:val="center"/>
                </w:tcPr>
                <w:p w14:paraId="4F01D08B">
                  <w:pPr>
                    <w:widowControl/>
                    <w:jc w:val="center"/>
                    <w:textAlignment w:val="center"/>
                    <w:rPr>
                      <w:rFonts w:hint="default" w:ascii="Times New Roman" w:hAnsi="Times New Roman" w:eastAsia="宋体"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7705F308">
                  <w:pPr>
                    <w:widowControl/>
                    <w:jc w:val="center"/>
                    <w:textAlignment w:val="center"/>
                    <w:rPr>
                      <w:rFonts w:hint="default" w:ascii="Times New Roman" w:hAnsi="Times New Roman" w:eastAsia="宋体" w:cs="Times New Roman"/>
                      <w:bCs w:val="0"/>
                      <w:color w:val="000000"/>
                      <w:kern w:val="2"/>
                      <w:sz w:val="21"/>
                      <w:szCs w:val="21"/>
                      <w:highlight w:val="none"/>
                      <w:lang w:val="en-US" w:eastAsia="zh-CN" w:bidi="zh-CN"/>
                    </w:rPr>
                  </w:pPr>
                </w:p>
              </w:tc>
            </w:tr>
            <w:tr w14:paraId="24C0BD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1" w:type="dxa"/>
                  <w:tcBorders>
                    <w:tl2br w:val="nil"/>
                    <w:tr2bl w:val="nil"/>
                  </w:tcBorders>
                  <w:noWrap w:val="0"/>
                  <w:vAlign w:val="center"/>
                </w:tcPr>
                <w:p w14:paraId="3286FFA0">
                  <w:pPr>
                    <w:widowControl/>
                    <w:jc w:val="center"/>
                    <w:textAlignment w:val="center"/>
                    <w:rPr>
                      <w:rFonts w:hint="eastAsia" w:ascii="Times New Roman" w:hAnsi="Times New Roman" w:eastAsia="宋体" w:cs="Times New Roman"/>
                      <w:bCs w:val="0"/>
                      <w:color w:val="000000"/>
                      <w:kern w:val="2"/>
                      <w:sz w:val="21"/>
                      <w:szCs w:val="21"/>
                      <w:highlight w:val="none"/>
                      <w:lang w:bidi="zh-CN"/>
                    </w:rPr>
                  </w:pPr>
                  <w:r>
                    <w:rPr>
                      <w:rFonts w:hint="eastAsia" w:cs="Times New Roman"/>
                      <w:bCs w:val="0"/>
                      <w:color w:val="000000"/>
                      <w:kern w:val="2"/>
                      <w:sz w:val="21"/>
                      <w:szCs w:val="21"/>
                      <w:highlight w:val="none"/>
                      <w:lang w:val="en-US" w:bidi="zh-CN"/>
                    </w:rPr>
                    <w:t xml:space="preserve"> </w:t>
                  </w:r>
                </w:p>
              </w:tc>
              <w:tc>
                <w:tcPr>
                  <w:tcW w:w="2160" w:type="dxa"/>
                  <w:gridSpan w:val="2"/>
                  <w:tcBorders>
                    <w:tl2br w:val="nil"/>
                    <w:tr2bl w:val="nil"/>
                  </w:tcBorders>
                  <w:noWrap w:val="0"/>
                  <w:vAlign w:val="center"/>
                </w:tcPr>
                <w:p w14:paraId="72CB9D75">
                  <w:pPr>
                    <w:widowControl/>
                    <w:jc w:val="center"/>
                    <w:textAlignment w:val="center"/>
                    <w:rPr>
                      <w:rFonts w:hint="eastAsia" w:ascii="Times New Roman" w:hAnsi="Times New Roman" w:eastAsia="宋体" w:cs="Times New Roman"/>
                      <w:bCs w:val="0"/>
                      <w:color w:val="000000"/>
                      <w:kern w:val="2"/>
                      <w:sz w:val="21"/>
                      <w:szCs w:val="21"/>
                      <w:highlight w:val="none"/>
                      <w:lang w:val="en-US" w:eastAsia="zh-CN" w:bidi="zh-CN"/>
                    </w:rPr>
                  </w:pPr>
                </w:p>
              </w:tc>
              <w:tc>
                <w:tcPr>
                  <w:tcW w:w="2052" w:type="dxa"/>
                  <w:gridSpan w:val="2"/>
                  <w:tcBorders>
                    <w:tl2br w:val="nil"/>
                    <w:tr2bl w:val="nil"/>
                  </w:tcBorders>
                  <w:noWrap w:val="0"/>
                  <w:vAlign w:val="center"/>
                </w:tcPr>
                <w:p w14:paraId="20A1631C">
                  <w:pPr>
                    <w:widowControl/>
                    <w:jc w:val="center"/>
                    <w:textAlignment w:val="center"/>
                    <w:rPr>
                      <w:rFonts w:hint="eastAsia" w:cs="Times New Roman"/>
                      <w:bCs w:val="0"/>
                      <w:color w:val="000000"/>
                      <w:kern w:val="2"/>
                      <w:sz w:val="21"/>
                      <w:szCs w:val="21"/>
                      <w:highlight w:val="none"/>
                      <w:lang w:val="en-US" w:bidi="zh-CN"/>
                    </w:rPr>
                  </w:pPr>
                </w:p>
              </w:tc>
              <w:tc>
                <w:tcPr>
                  <w:tcW w:w="2065" w:type="dxa"/>
                  <w:tcBorders>
                    <w:tl2br w:val="nil"/>
                    <w:tr2bl w:val="nil"/>
                  </w:tcBorders>
                  <w:noWrap w:val="0"/>
                  <w:vAlign w:val="center"/>
                </w:tcPr>
                <w:p w14:paraId="6C757507">
                  <w:pPr>
                    <w:widowControl/>
                    <w:jc w:val="center"/>
                    <w:textAlignment w:val="center"/>
                    <w:rPr>
                      <w:rFonts w:hint="default" w:cs="Times New Roman"/>
                      <w:bCs w:val="0"/>
                      <w:color w:val="000000"/>
                      <w:kern w:val="2"/>
                      <w:sz w:val="21"/>
                      <w:szCs w:val="21"/>
                      <w:highlight w:val="none"/>
                      <w:lang w:val="en-US" w:eastAsia="zh-CN" w:bidi="zh-CN"/>
                    </w:rPr>
                  </w:pPr>
                </w:p>
              </w:tc>
            </w:tr>
          </w:tbl>
          <w:p w14:paraId="6666FA60">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textAlignment w:val="auto"/>
              <w:rPr>
                <w:rFonts w:hint="default" w:ascii="Times New Roman" w:hAnsi="Times New Roman" w:eastAsia="宋体" w:cs="Times New Roman"/>
                <w:color w:val="000000"/>
                <w:highlight w:val="none"/>
              </w:rPr>
            </w:pPr>
          </w:p>
          <w:p w14:paraId="7EF71318">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1"/>
              <w:rPr>
                <w:rFonts w:hint="default" w:ascii="Times New Roman" w:hAnsi="Times New Roman" w:eastAsia="宋体" w:cs="Times New Roman"/>
                <w:b/>
                <w:color w:val="000000"/>
                <w:kern w:val="2"/>
                <w:sz w:val="28"/>
                <w:szCs w:val="28"/>
                <w:highlight w:val="none"/>
                <w:lang w:val="en-US" w:eastAsia="zh-CN" w:bidi="ar-SA"/>
              </w:rPr>
            </w:pPr>
            <w:r>
              <w:rPr>
                <w:rFonts w:hint="default"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rPr>
              <w:t>.</w:t>
            </w:r>
            <w:r>
              <w:rPr>
                <w:rFonts w:hint="eastAsia" w:ascii="Times New Roman" w:hAnsi="Times New Roman" w:eastAsia="宋体" w:cs="Times New Roman"/>
                <w:color w:val="000000"/>
                <w:highlight w:val="none"/>
                <w:lang w:val="en-US" w:eastAsia="zh-CN"/>
              </w:rPr>
              <w:t>7</w:t>
            </w:r>
            <w:r>
              <w:rPr>
                <w:rFonts w:hint="default" w:ascii="Times New Roman" w:hAnsi="Times New Roman" w:eastAsia="宋体" w:cs="Times New Roman"/>
                <w:b/>
                <w:color w:val="000000"/>
                <w:kern w:val="2"/>
                <w:sz w:val="28"/>
                <w:szCs w:val="28"/>
                <w:highlight w:val="none"/>
                <w:lang w:val="en-US" w:eastAsia="zh-CN" w:bidi="ar-SA"/>
              </w:rPr>
              <w:t>项目主要原辅材料理化性质</w:t>
            </w:r>
          </w:p>
          <w:p w14:paraId="6BCEC206">
            <w:pPr>
              <w:pStyle w:val="73"/>
              <w:spacing w:line="360" w:lineRule="auto"/>
              <w:ind w:firstLine="480"/>
              <w:jc w:val="both"/>
              <w:rPr>
                <w:rFonts w:hint="default" w:ascii="Times New Roman" w:hAnsi="Times New Roman" w:eastAsia="宋体" w:cs="Times New Roman"/>
                <w:color w:val="auto"/>
                <w:highlight w:val="none"/>
                <w:lang w:val="en-US"/>
              </w:rPr>
            </w:pPr>
            <w:r>
              <w:rPr>
                <w:rFonts w:hint="eastAsia" w:ascii="Times New Roman" w:hAnsi="Times New Roman" w:eastAsia="宋体" w:cs="Times New Roman"/>
                <w:b w:val="0"/>
                <w:bCs w:val="0"/>
                <w:color w:val="000000"/>
                <w:sz w:val="24"/>
                <w:szCs w:val="24"/>
                <w:highlight w:val="none"/>
                <w:lang w:val="en-US" w:eastAsia="zh-CN"/>
              </w:rPr>
              <w:t>胶浆</w:t>
            </w:r>
            <w:r>
              <w:rPr>
                <w:rFonts w:hint="default" w:ascii="Times New Roman" w:hAnsi="Times New Roman" w:eastAsia="宋体" w:cs="Times New Roman"/>
                <w:b w:val="0"/>
                <w:bCs w:val="0"/>
                <w:color w:val="000000"/>
                <w:sz w:val="24"/>
                <w:szCs w:val="24"/>
                <w:highlight w:val="none"/>
              </w:rPr>
              <w:t>：</w:t>
            </w:r>
            <w:r>
              <w:rPr>
                <w:rFonts w:hint="eastAsia" w:ascii="Times New Roman" w:hAnsi="Times New Roman" w:eastAsia="宋体" w:cs="Times New Roman"/>
                <w:b w:val="0"/>
                <w:bCs w:val="0"/>
                <w:color w:val="auto"/>
                <w:highlight w:val="none"/>
                <w:lang w:eastAsia="zh-CN"/>
              </w:rPr>
              <w:t>项目使用的胶浆为水性胶浆。外观呈白色透明状液体，主要成分为聚丙烯酸脂树脂、丙二醇、固体石蜡、聚丙烯酸酯增稠剂、二氧化硅和水，含量分别为</w:t>
            </w:r>
            <w:r>
              <w:rPr>
                <w:rFonts w:hint="eastAsia" w:ascii="Times New Roman" w:hAnsi="Times New Roman" w:eastAsia="宋体" w:cs="Times New Roman"/>
                <w:b w:val="0"/>
                <w:bCs w:val="0"/>
                <w:color w:val="auto"/>
                <w:highlight w:val="none"/>
                <w:lang w:val="en-US" w:eastAsia="zh-CN"/>
              </w:rPr>
              <w:t>40%、2%、5%、5%、2%、46%，不含易挥发的有机溶剂，但其使用过程中仍会有轻微气味产生，主要为聚丙烯酸酯</w:t>
            </w:r>
            <w:r>
              <w:rPr>
                <w:rFonts w:hint="eastAsia" w:cs="Times New Roman"/>
                <w:b w:val="0"/>
                <w:bCs w:val="0"/>
                <w:color w:val="auto"/>
                <w:highlight w:val="none"/>
                <w:lang w:val="en-US" w:eastAsia="zh-CN"/>
              </w:rPr>
              <w:t>树脂</w:t>
            </w:r>
            <w:r>
              <w:rPr>
                <w:rFonts w:hint="eastAsia" w:ascii="Times New Roman" w:hAnsi="Times New Roman" w:eastAsia="宋体" w:cs="Times New Roman"/>
                <w:b w:val="0"/>
                <w:bCs w:val="0"/>
                <w:color w:val="auto"/>
                <w:highlight w:val="none"/>
                <w:lang w:val="en-US" w:eastAsia="zh-CN"/>
              </w:rPr>
              <w:t>中未聚合的极少量单质挥发产生，未聚合的单质按树脂5%计，则项目水性胶浆中挥发性有机物占比2%。根据</w:t>
            </w:r>
            <w:r>
              <w:rPr>
                <w:rFonts w:hint="eastAsia" w:cs="Times New Roman"/>
                <w:b w:val="0"/>
                <w:bCs w:val="0"/>
                <w:color w:val="auto"/>
                <w:highlight w:val="none"/>
                <w:lang w:val="en-US" w:eastAsia="zh-CN"/>
              </w:rPr>
              <w:t>建设单位</w:t>
            </w:r>
            <w:r>
              <w:rPr>
                <w:rFonts w:hint="eastAsia" w:ascii="Times New Roman" w:hAnsi="Times New Roman" w:eastAsia="宋体" w:cs="Times New Roman"/>
                <w:b w:val="0"/>
                <w:bCs w:val="0"/>
                <w:color w:val="auto"/>
                <w:highlight w:val="none"/>
                <w:lang w:val="en-US" w:eastAsia="zh-CN"/>
              </w:rPr>
              <w:t>提供资料，项目胶浆理化性质见</w:t>
            </w:r>
            <w:r>
              <w:rPr>
                <w:rFonts w:hint="eastAsia" w:cs="Times New Roman"/>
                <w:b w:val="0"/>
                <w:bCs w:val="0"/>
                <w:color w:val="auto"/>
                <w:highlight w:val="none"/>
                <w:lang w:val="en-US" w:eastAsia="zh-CN"/>
              </w:rPr>
              <w:t>附件12</w:t>
            </w:r>
            <w:r>
              <w:rPr>
                <w:rFonts w:hint="eastAsia" w:ascii="Times New Roman" w:hAnsi="Times New Roman" w:eastAsia="宋体" w:cs="Times New Roman"/>
                <w:b w:val="0"/>
                <w:bCs w:val="0"/>
                <w:color w:val="auto"/>
                <w:highlight w:val="none"/>
                <w:lang w:val="en-US" w:eastAsia="zh-CN"/>
              </w:rPr>
              <w:t>。</w:t>
            </w:r>
          </w:p>
          <w:p w14:paraId="3E3DA9FE">
            <w:pPr>
              <w:pStyle w:val="73"/>
              <w:spacing w:line="360" w:lineRule="auto"/>
              <w:ind w:firstLine="480"/>
              <w:jc w:val="both"/>
              <w:rPr>
                <w:rFonts w:hint="default" w:ascii="Times New Roman" w:hAnsi="Times New Roman" w:eastAsia="宋体" w:cs="Times New Roman"/>
                <w:b w:val="0"/>
                <w:bCs w:val="0"/>
                <w:color w:val="000000"/>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固浆</w:t>
            </w:r>
            <w:r>
              <w:rPr>
                <w:rFonts w:hint="default" w:ascii="Times New Roman" w:hAnsi="Times New Roman" w:eastAsia="宋体" w:cs="Times New Roman"/>
                <w:b w:val="0"/>
                <w:bCs w:val="0"/>
                <w:color w:val="000000"/>
                <w:sz w:val="24"/>
                <w:szCs w:val="24"/>
                <w:highlight w:val="none"/>
                <w:lang w:val="en-US" w:eastAsia="zh-CN"/>
              </w:rPr>
              <w:t>：</w:t>
            </w:r>
            <w:r>
              <w:rPr>
                <w:rFonts w:hint="eastAsia" w:ascii="Times New Roman" w:hAnsi="Times New Roman" w:eastAsia="宋体" w:cs="Times New Roman"/>
                <w:b w:val="0"/>
                <w:bCs w:val="0"/>
                <w:color w:val="auto"/>
                <w:highlight w:val="none"/>
                <w:lang w:eastAsia="zh-CN"/>
              </w:rPr>
              <w:t>项目使用的固浆为水性固浆</w:t>
            </w:r>
            <w:r>
              <w:rPr>
                <w:rFonts w:hint="default" w:ascii="Times New Roman" w:hAnsi="Times New Roman" w:eastAsia="宋体" w:cs="Times New Roman"/>
                <w:b w:val="0"/>
                <w:bCs w:val="0"/>
                <w:color w:val="auto"/>
                <w:highlight w:val="none"/>
              </w:rPr>
              <w:t>。</w:t>
            </w:r>
            <w:r>
              <w:rPr>
                <w:rFonts w:hint="eastAsia" w:ascii="Times New Roman" w:hAnsi="Times New Roman" w:eastAsia="宋体" w:cs="Times New Roman"/>
                <w:b w:val="0"/>
                <w:bCs w:val="0"/>
                <w:color w:val="auto"/>
                <w:highlight w:val="none"/>
                <w:lang w:eastAsia="zh-CN"/>
              </w:rPr>
              <w:t>外观呈白色透明状液体，主要成分为聚丙烯酸、聚丙烯晴、聚丙烯酸丁酯和水，含量分别为</w:t>
            </w:r>
            <w:r>
              <w:rPr>
                <w:rFonts w:hint="eastAsia" w:ascii="Times New Roman" w:hAnsi="Times New Roman" w:eastAsia="宋体" w:cs="Times New Roman"/>
                <w:b w:val="0"/>
                <w:bCs w:val="0"/>
                <w:color w:val="auto"/>
                <w:highlight w:val="none"/>
                <w:lang w:val="en-US" w:eastAsia="zh-CN"/>
              </w:rPr>
              <w:t>2%、8%、30%、60%，不含易挥发的有机溶剂，但其使用过程中仍会有轻微气味产生，主要为聚丙烯酸</w:t>
            </w:r>
            <w:r>
              <w:rPr>
                <w:rFonts w:hint="eastAsia" w:cs="Times New Roman"/>
                <w:b w:val="0"/>
                <w:bCs w:val="0"/>
                <w:color w:val="auto"/>
                <w:highlight w:val="none"/>
                <w:lang w:val="en-US" w:eastAsia="zh-CN"/>
              </w:rPr>
              <w:t>丁</w:t>
            </w:r>
            <w:r>
              <w:rPr>
                <w:rFonts w:hint="eastAsia" w:ascii="Times New Roman" w:hAnsi="Times New Roman" w:eastAsia="宋体" w:cs="Times New Roman"/>
                <w:b w:val="0"/>
                <w:bCs w:val="0"/>
                <w:color w:val="auto"/>
                <w:highlight w:val="none"/>
                <w:lang w:val="en-US" w:eastAsia="zh-CN"/>
              </w:rPr>
              <w:t>酯中未聚合的极少量单质挥发产生，未聚合的单质按树脂5%计，则项目水性固浆浆中挥发性有机物占比1.5%。根据</w:t>
            </w:r>
            <w:r>
              <w:rPr>
                <w:rFonts w:hint="eastAsia" w:cs="Times New Roman"/>
                <w:b w:val="0"/>
                <w:bCs w:val="0"/>
                <w:color w:val="auto"/>
                <w:highlight w:val="none"/>
                <w:lang w:val="en-US" w:eastAsia="zh-CN"/>
              </w:rPr>
              <w:t>建设单位</w:t>
            </w:r>
            <w:r>
              <w:rPr>
                <w:rFonts w:hint="eastAsia" w:ascii="Times New Roman" w:hAnsi="Times New Roman" w:eastAsia="宋体" w:cs="Times New Roman"/>
                <w:b w:val="0"/>
                <w:bCs w:val="0"/>
                <w:color w:val="auto"/>
                <w:highlight w:val="none"/>
                <w:lang w:val="en-US" w:eastAsia="zh-CN"/>
              </w:rPr>
              <w:t>提供资料，项目固浆理化性质见</w:t>
            </w:r>
            <w:r>
              <w:rPr>
                <w:rFonts w:hint="eastAsia" w:cs="Times New Roman"/>
                <w:b w:val="0"/>
                <w:bCs w:val="0"/>
                <w:color w:val="auto"/>
                <w:highlight w:val="none"/>
                <w:lang w:val="en-US" w:eastAsia="zh-CN"/>
              </w:rPr>
              <w:t>附件12</w:t>
            </w:r>
            <w:r>
              <w:rPr>
                <w:rFonts w:hint="eastAsia" w:ascii="Times New Roman" w:hAnsi="Times New Roman" w:eastAsia="宋体" w:cs="Times New Roman"/>
                <w:b w:val="0"/>
                <w:bCs w:val="0"/>
                <w:color w:val="auto"/>
                <w:highlight w:val="none"/>
                <w:lang w:val="en-US" w:eastAsia="zh-CN"/>
              </w:rPr>
              <w:t>。</w:t>
            </w:r>
          </w:p>
          <w:p w14:paraId="6FB1F4AF">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both"/>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色种</w:t>
            </w:r>
            <w:r>
              <w:rPr>
                <w:rFonts w:hint="default" w:ascii="Times New Roman" w:hAnsi="Times New Roman" w:eastAsia="宋体" w:cs="Times New Roman"/>
                <w:b w:val="0"/>
                <w:bCs w:val="0"/>
                <w:color w:val="000000"/>
                <w:sz w:val="24"/>
                <w:szCs w:val="24"/>
                <w:highlight w:val="none"/>
                <w:lang w:val="en-US" w:eastAsia="zh-CN"/>
              </w:rPr>
              <w:t>：</w:t>
            </w:r>
            <w:r>
              <w:rPr>
                <w:rFonts w:hint="eastAsia" w:ascii="Times New Roman" w:hAnsi="Times New Roman" w:eastAsia="宋体" w:cs="Times New Roman"/>
                <w:b w:val="0"/>
                <w:bCs w:val="0"/>
                <w:color w:val="000000"/>
                <w:sz w:val="24"/>
                <w:szCs w:val="24"/>
                <w:highlight w:val="none"/>
                <w:lang w:val="en-US" w:eastAsia="zh-CN"/>
              </w:rPr>
              <w:t>项目使用的色种成分为30~50%的颜料、50~60%的水、8~10%的乳化剂，不含挥发性有机成分。项目色种</w:t>
            </w:r>
            <w:r>
              <w:rPr>
                <w:rFonts w:hint="eastAsia" w:ascii="Times New Roman" w:hAnsi="Times New Roman" w:eastAsia="宋体" w:cs="Times New Roman"/>
                <w:b w:val="0"/>
                <w:bCs w:val="0"/>
                <w:color w:val="auto"/>
                <w:highlight w:val="none"/>
                <w:lang w:val="en-US" w:eastAsia="zh-CN"/>
              </w:rPr>
              <w:t>理化性质见</w:t>
            </w:r>
            <w:r>
              <w:rPr>
                <w:rFonts w:hint="eastAsia" w:ascii="Times New Roman" w:hAnsi="Times New Roman" w:cs="Times New Roman"/>
                <w:b w:val="0"/>
                <w:bCs w:val="0"/>
                <w:color w:val="auto"/>
                <w:highlight w:val="none"/>
                <w:lang w:val="en-US" w:eastAsia="zh-CN"/>
              </w:rPr>
              <w:t>附件12</w:t>
            </w:r>
            <w:r>
              <w:rPr>
                <w:rFonts w:hint="eastAsia" w:ascii="Times New Roman" w:hAnsi="Times New Roman" w:eastAsia="宋体" w:cs="Times New Roman"/>
                <w:b w:val="0"/>
                <w:bCs w:val="0"/>
                <w:color w:val="auto"/>
                <w:highlight w:val="none"/>
                <w:lang w:val="en-US" w:eastAsia="zh-CN"/>
              </w:rPr>
              <w:t>。</w:t>
            </w:r>
          </w:p>
          <w:p w14:paraId="4404783B">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固色剂：项目使用的固色剂成分为含量99%以上的甘油三油酸酯，不含挥发性有机成分。项目固色剂理化性质见附件12。</w:t>
            </w:r>
          </w:p>
          <w:p w14:paraId="712E5E90">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感光胶：项目使用的感光胶为水性感光胶。外观呈蓝色粘性液体，主要成分为聚乙酸乙烯脂、醋酸乙烯酯与乙烯醇的聚合物和水，含量分别为20~30%、5~15%、60~70%，不含易挥发的有机溶剂，但其使用过程中仍会有轻微气味产生，主要为聚乙酸乙烯酯</w:t>
            </w:r>
            <w:r>
              <w:rPr>
                <w:rFonts w:hint="eastAsia" w:ascii="Times New Roman" w:hAnsi="Times New Roman" w:cs="Times New Roman"/>
                <w:b w:val="0"/>
                <w:bCs w:val="0"/>
                <w:color w:val="auto"/>
                <w:highlight w:val="none"/>
                <w:lang w:val="en-US" w:eastAsia="zh-CN"/>
              </w:rPr>
              <w:t>和</w:t>
            </w:r>
            <w:r>
              <w:rPr>
                <w:rFonts w:hint="eastAsia" w:ascii="Times New Roman" w:hAnsi="Times New Roman" w:eastAsia="宋体" w:cs="Times New Roman"/>
                <w:b w:val="0"/>
                <w:bCs w:val="0"/>
                <w:color w:val="auto"/>
                <w:highlight w:val="none"/>
                <w:lang w:val="en-US" w:eastAsia="zh-CN"/>
              </w:rPr>
              <w:t>醋酸乙烯酯与乙烯醇的聚合物中未聚合的极少量单质挥发产生，未聚合的单质按聚乙酸乙烯酯</w:t>
            </w:r>
            <w:r>
              <w:rPr>
                <w:rFonts w:hint="eastAsia" w:ascii="Times New Roman" w:hAnsi="Times New Roman" w:cs="Times New Roman"/>
                <w:b w:val="0"/>
                <w:bCs w:val="0"/>
                <w:color w:val="auto"/>
                <w:highlight w:val="none"/>
                <w:lang w:val="en-US" w:eastAsia="zh-CN"/>
              </w:rPr>
              <w:t>和</w:t>
            </w:r>
            <w:r>
              <w:rPr>
                <w:rFonts w:hint="eastAsia" w:ascii="Times New Roman" w:hAnsi="Times New Roman" w:eastAsia="宋体" w:cs="Times New Roman"/>
                <w:b w:val="0"/>
                <w:bCs w:val="0"/>
                <w:color w:val="auto"/>
                <w:highlight w:val="none"/>
                <w:lang w:val="en-US" w:eastAsia="zh-CN"/>
              </w:rPr>
              <w:t>醋酸乙烯酯与乙烯醇的聚合物5%计，则项目水性胶浆中挥发性有机物占比2.25%。根据</w:t>
            </w:r>
            <w:r>
              <w:rPr>
                <w:rFonts w:hint="eastAsia" w:ascii="Times New Roman" w:hAnsi="Times New Roman" w:cs="Times New Roman"/>
                <w:b w:val="0"/>
                <w:bCs w:val="0"/>
                <w:color w:val="auto"/>
                <w:highlight w:val="none"/>
                <w:lang w:val="en-US" w:eastAsia="zh-CN"/>
              </w:rPr>
              <w:t>建设单位</w:t>
            </w:r>
            <w:r>
              <w:rPr>
                <w:rFonts w:hint="eastAsia" w:ascii="Times New Roman" w:hAnsi="Times New Roman" w:eastAsia="宋体" w:cs="Times New Roman"/>
                <w:b w:val="0"/>
                <w:bCs w:val="0"/>
                <w:color w:val="auto"/>
                <w:highlight w:val="none"/>
                <w:lang w:val="en-US" w:eastAsia="zh-CN"/>
              </w:rPr>
              <w:t>提供资料，项目胶浆理化性质见</w:t>
            </w:r>
            <w:r>
              <w:rPr>
                <w:rFonts w:hint="eastAsia" w:ascii="Times New Roman" w:hAnsi="Times New Roman" w:cs="Times New Roman"/>
                <w:b w:val="0"/>
                <w:bCs w:val="0"/>
                <w:color w:val="auto"/>
                <w:highlight w:val="none"/>
                <w:lang w:val="en-US" w:eastAsia="zh-CN"/>
              </w:rPr>
              <w:t>附件12</w:t>
            </w:r>
            <w:r>
              <w:rPr>
                <w:rFonts w:hint="eastAsia" w:ascii="Times New Roman" w:hAnsi="Times New Roman" w:eastAsia="宋体" w:cs="Times New Roman"/>
                <w:b w:val="0"/>
                <w:bCs w:val="0"/>
                <w:color w:val="auto"/>
                <w:highlight w:val="none"/>
                <w:lang w:val="en-US" w:eastAsia="zh-CN"/>
              </w:rPr>
              <w:t>。</w:t>
            </w:r>
          </w:p>
          <w:p w14:paraId="7E2FB495">
            <w:pPr>
              <w:rPr>
                <w:rFonts w:hint="default" w:ascii="宋体" w:hAnsi="宋体" w:eastAsia="宋体" w:cs="Times New Roman"/>
                <w:bCs w:val="0"/>
                <w:color w:val="000000"/>
                <w:sz w:val="16"/>
                <w:szCs w:val="16"/>
                <w:highlight w:val="none"/>
                <w:lang w:val="en-US" w:eastAsia="zh-CN"/>
              </w:rPr>
            </w:pPr>
          </w:p>
        </w:tc>
      </w:tr>
      <w:tr w14:paraId="23FF1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5" w:hRule="atLeast"/>
          <w:jc w:val="center"/>
        </w:trPr>
        <w:tc>
          <w:tcPr>
            <w:tcW w:w="823" w:type="dxa"/>
            <w:noWrap w:val="0"/>
            <w:vAlign w:val="center"/>
          </w:tcPr>
          <w:p w14:paraId="5DD207E8">
            <w:pPr>
              <w:pStyle w:val="23"/>
              <w:widowControl w:val="0"/>
              <w:adjustRightInd w:val="0"/>
              <w:snapToGrid w:val="0"/>
              <w:spacing w:before="0" w:beforeAutospacing="0" w:after="0" w:afterAutospacing="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4"/>
                <w:szCs w:val="24"/>
                <w:highlight w:val="none"/>
              </w:rPr>
              <w:t>工艺流程和产排污环节</w:t>
            </w:r>
          </w:p>
        </w:tc>
        <w:tc>
          <w:tcPr>
            <w:tcW w:w="8161" w:type="dxa"/>
            <w:noWrap w:val="0"/>
            <w:vAlign w:val="top"/>
          </w:tcPr>
          <w:p w14:paraId="52B4A830">
            <w:pPr>
              <w:pStyle w:val="56"/>
              <w:keepNext w:val="0"/>
              <w:keepLines w:val="0"/>
              <w:pageBreakBefore w:val="0"/>
              <w:widowControl w:val="0"/>
              <w:kinsoku/>
              <w:wordWrap/>
              <w:overflowPunct/>
              <w:topLinePunct w:val="0"/>
              <w:autoSpaceDE/>
              <w:autoSpaceDN/>
              <w:bidi w:val="0"/>
              <w:adjustRightInd w:val="0"/>
              <w:snapToGrid w:val="0"/>
              <w:spacing w:before="157" w:beforeLines="50" w:after="0" w:afterLines="0" w:line="360" w:lineRule="auto"/>
              <w:textAlignment w:val="auto"/>
              <w:outlineLvl w:val="9"/>
              <w:rPr>
                <w:rFonts w:hint="default" w:ascii="Times New Roman" w:hAnsi="Times New Roman" w:eastAsia="宋体" w:cs="Times New Roman"/>
                <w:color w:val="000000"/>
                <w:highlight w:val="none"/>
              </w:rPr>
            </w:pPr>
            <w:bookmarkStart w:id="6" w:name="_Toc15198"/>
            <w:r>
              <w:rPr>
                <w:rFonts w:hint="default"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rPr>
              <w:t>.</w:t>
            </w:r>
            <w:r>
              <w:rPr>
                <w:rFonts w:hint="default" w:ascii="Times New Roman" w:hAnsi="Times New Roman" w:eastAsia="宋体" w:cs="Times New Roman"/>
                <w:color w:val="000000"/>
                <w:highlight w:val="none"/>
                <w:lang w:val="en-US" w:eastAsia="zh-CN"/>
              </w:rPr>
              <w:t>8公用工程</w:t>
            </w:r>
            <w:bookmarkEnd w:id="6"/>
          </w:p>
          <w:p w14:paraId="5B1D65A7">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9"/>
              <w:rPr>
                <w:rFonts w:hint="default" w:ascii="Times New Roman" w:hAnsi="Times New Roman" w:eastAsia="宋体" w:cs="Times New Roman"/>
                <w:b w:val="0"/>
                <w:bCs/>
                <w:color w:val="000000"/>
                <w:sz w:val="24"/>
                <w:szCs w:val="24"/>
                <w:highlight w:val="none"/>
                <w:lang w:val="en-US" w:eastAsia="zh-CN"/>
              </w:rPr>
            </w:pPr>
            <w:bookmarkStart w:id="7" w:name="_Toc19731"/>
            <w:r>
              <w:rPr>
                <w:rFonts w:hint="default" w:ascii="Times New Roman" w:hAnsi="Times New Roman" w:eastAsia="宋体" w:cs="Times New Roman"/>
                <w:b w:val="0"/>
                <w:bCs/>
                <w:color w:val="000000"/>
                <w:sz w:val="24"/>
                <w:szCs w:val="24"/>
                <w:highlight w:val="none"/>
                <w:lang w:val="en-US" w:eastAsia="zh-CN"/>
              </w:rPr>
              <w:t>（1）</w:t>
            </w:r>
            <w:bookmarkEnd w:id="7"/>
            <w:r>
              <w:rPr>
                <w:rFonts w:hint="eastAsia" w:ascii="Times New Roman" w:hAnsi="Times New Roman" w:eastAsia="宋体" w:cs="Times New Roman"/>
                <w:b w:val="0"/>
                <w:bCs/>
                <w:color w:val="000000"/>
                <w:sz w:val="24"/>
                <w:szCs w:val="24"/>
                <w:highlight w:val="none"/>
                <w:lang w:val="en-US" w:eastAsia="zh-CN"/>
              </w:rPr>
              <w:t>生活用水</w:t>
            </w:r>
          </w:p>
          <w:p w14:paraId="7D1D831D">
            <w:pPr>
              <w:keepNext w:val="0"/>
              <w:keepLines w:val="0"/>
              <w:pageBreakBefore w:val="0"/>
              <w:kinsoku/>
              <w:wordWrap/>
              <w:overflowPunct/>
              <w:topLinePunct w:val="0"/>
              <w:autoSpaceDE/>
              <w:autoSpaceDN/>
              <w:bidi w:val="0"/>
              <w:spacing w:beforeLines="0" w:afterLines="0" w:line="360" w:lineRule="auto"/>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auto"/>
                <w:sz w:val="24"/>
                <w:highlight w:val="none"/>
                <w:lang w:eastAsia="zh-CN"/>
              </w:rPr>
              <w:t>项目拟聘职工</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人，</w:t>
            </w:r>
            <w:r>
              <w:rPr>
                <w:rFonts w:hint="eastAsia" w:ascii="Times New Roman" w:hAnsi="Times New Roman" w:eastAsia="宋体" w:cs="Times New Roman"/>
                <w:color w:val="auto"/>
                <w:sz w:val="24"/>
                <w:highlight w:val="none"/>
                <w:lang w:val="en-US" w:eastAsia="zh-CN"/>
              </w:rPr>
              <w:t>住宿员工</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0人，</w:t>
            </w:r>
            <w:r>
              <w:rPr>
                <w:rFonts w:hint="default" w:ascii="Times New Roman" w:hAnsi="Times New Roman" w:eastAsia="宋体" w:cs="Times New Roman"/>
                <w:color w:val="auto"/>
                <w:sz w:val="24"/>
                <w:highlight w:val="none"/>
                <w:lang w:val="en-US" w:eastAsia="zh-CN"/>
              </w:rPr>
              <w:t>日工作</w:t>
            </w:r>
            <w:r>
              <w:rPr>
                <w:rFonts w:hint="eastAsia" w:ascii="Times New Roman" w:hAnsi="Times New Roman" w:eastAsia="宋体" w:cs="Times New Roman"/>
                <w:color w:val="auto"/>
                <w:sz w:val="24"/>
                <w:highlight w:val="none"/>
                <w:lang w:val="en-US" w:eastAsia="zh-CN"/>
              </w:rPr>
              <w:t>12</w:t>
            </w:r>
            <w:r>
              <w:rPr>
                <w:rFonts w:hint="eastAsia" w:cs="Times New Roman"/>
                <w:color w:val="auto"/>
                <w:sz w:val="24"/>
                <w:highlight w:val="none"/>
                <w:lang w:val="en-US" w:eastAsia="zh-CN"/>
              </w:rPr>
              <w:t>h</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夜间不生产</w:t>
            </w:r>
            <w:r>
              <w:rPr>
                <w:rFonts w:hint="default" w:ascii="Times New Roman" w:hAnsi="Times New Roman" w:eastAsia="宋体" w:cs="Times New Roman"/>
                <w:color w:val="auto"/>
                <w:sz w:val="24"/>
                <w:highlight w:val="none"/>
                <w:lang w:val="en-US" w:eastAsia="zh-CN"/>
              </w:rPr>
              <w:t>），根据</w:t>
            </w:r>
            <w:r>
              <w:rPr>
                <w:rFonts w:hint="eastAsia" w:ascii="Times New Roman" w:hAnsi="Times New Roman" w:eastAsia="宋体" w:cs="Times New Roman"/>
                <w:color w:val="auto"/>
                <w:sz w:val="24"/>
                <w:highlight w:val="none"/>
                <w:lang w:eastAsia="zh-CN"/>
              </w:rPr>
              <w:t>G</w:t>
            </w:r>
            <w:r>
              <w:rPr>
                <w:rFonts w:hint="eastAsia" w:ascii="Times New Roman" w:hAnsi="Times New Roman" w:eastAsia="宋体" w:cs="Times New Roman"/>
                <w:color w:val="auto"/>
                <w:sz w:val="24"/>
                <w:highlight w:val="none"/>
                <w:lang w:val="en-US" w:eastAsia="zh-CN"/>
              </w:rPr>
              <w:t>B50013</w:t>
            </w:r>
            <w:r>
              <w:rPr>
                <w:rFonts w:hint="default" w:ascii="Times New Roman" w:hAnsi="Times New Roman" w:eastAsia="宋体" w:cs="Times New Roman"/>
                <w:color w:val="auto"/>
                <w:sz w:val="24"/>
                <w:highlight w:val="none"/>
              </w:rPr>
              <w:t>—201</w:t>
            </w:r>
            <w:r>
              <w:rPr>
                <w:rFonts w:hint="eastAsia" w:ascii="Times New Roman" w:hAnsi="Times New Roman" w:eastAsia="宋体" w:cs="Times New Roman"/>
                <w:color w:val="auto"/>
                <w:sz w:val="24"/>
                <w:highlight w:val="none"/>
                <w:lang w:eastAsia="zh-CN"/>
              </w:rPr>
              <w:t>8</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室外给水设计方案</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住宿</w:t>
            </w:r>
            <w:r>
              <w:rPr>
                <w:rFonts w:hint="default" w:ascii="Times New Roman" w:hAnsi="Times New Roman" w:eastAsia="宋体" w:cs="Times New Roman"/>
                <w:color w:val="auto"/>
                <w:sz w:val="24"/>
                <w:highlight w:val="none"/>
              </w:rPr>
              <w:t>职工生活用</w:t>
            </w:r>
            <w:r>
              <w:rPr>
                <w:rFonts w:hint="default" w:ascii="Times New Roman" w:hAnsi="Times New Roman" w:eastAsia="宋体" w:cs="Times New Roman"/>
                <w:color w:val="auto"/>
                <w:sz w:val="24"/>
                <w:highlight w:val="none"/>
                <w:lang w:eastAsia="zh-CN"/>
              </w:rPr>
              <w:t>水定额取</w:t>
            </w:r>
            <w:r>
              <w:rPr>
                <w:rFonts w:hint="eastAsia" w:ascii="Times New Roman" w:hAnsi="Times New Roman" w:eastAsia="宋体" w:cs="Times New Roman"/>
                <w:color w:val="auto"/>
                <w:sz w:val="24"/>
                <w:highlight w:val="none"/>
                <w:lang w:val="en-US" w:eastAsia="zh-CN"/>
              </w:rPr>
              <w:t>150</w:t>
            </w:r>
            <w:r>
              <w:rPr>
                <w:rFonts w:hint="default" w:ascii="Times New Roman" w:hAnsi="Times New Roman" w:eastAsia="宋体" w:cs="Times New Roman"/>
                <w:color w:val="auto"/>
                <w:sz w:val="24"/>
                <w:highlight w:val="none"/>
                <w:lang w:eastAsia="zh-CN"/>
              </w:rPr>
              <w:t>L/（人·天），</w:t>
            </w:r>
            <w:r>
              <w:rPr>
                <w:rFonts w:hint="default" w:ascii="Times New Roman" w:hAnsi="Times New Roman" w:eastAsia="宋体" w:cs="Times New Roman"/>
                <w:bCs/>
                <w:color w:val="000000"/>
                <w:sz w:val="24"/>
                <w:szCs w:val="24"/>
                <w:highlight w:val="none"/>
                <w:lang w:val="en-US" w:eastAsia="zh-CN"/>
              </w:rPr>
              <w:t>则</w:t>
            </w:r>
            <w:r>
              <w:rPr>
                <w:rFonts w:hint="default" w:ascii="Times New Roman" w:hAnsi="Times New Roman" w:eastAsia="宋体" w:cs="Times New Roman"/>
                <w:bCs/>
                <w:color w:val="000000"/>
                <w:sz w:val="24"/>
                <w:szCs w:val="24"/>
                <w:highlight w:val="none"/>
              </w:rPr>
              <w:t>职工生活</w:t>
            </w:r>
            <w:r>
              <w:rPr>
                <w:rFonts w:hint="default" w:ascii="Times New Roman" w:hAnsi="Times New Roman" w:eastAsia="宋体" w:cs="Times New Roman"/>
                <w:bCs/>
                <w:color w:val="000000"/>
                <w:sz w:val="24"/>
                <w:szCs w:val="24"/>
                <w:highlight w:val="none"/>
                <w:lang w:eastAsia="zh-CN"/>
              </w:rPr>
              <w:t>用水量</w:t>
            </w:r>
            <w:r>
              <w:rPr>
                <w:rFonts w:hint="default" w:ascii="Times New Roman" w:hAnsi="Times New Roman" w:eastAsia="宋体" w:cs="Times New Roman"/>
                <w:bCs/>
                <w:color w:val="000000"/>
                <w:sz w:val="24"/>
                <w:szCs w:val="24"/>
                <w:highlight w:val="none"/>
              </w:rPr>
              <w:t>为</w:t>
            </w:r>
            <w:r>
              <w:rPr>
                <w:rFonts w:hint="eastAsia" w:cs="Times New Roman"/>
                <w:bCs/>
                <w:color w:val="000000"/>
                <w:sz w:val="24"/>
                <w:szCs w:val="24"/>
                <w:highlight w:val="none"/>
                <w:lang w:val="en-US" w:eastAsia="zh-CN"/>
              </w:rPr>
              <w:t>9</w:t>
            </w:r>
            <w:r>
              <w:rPr>
                <w:rFonts w:hint="default" w:ascii="Times New Roman" w:hAnsi="Times New Roman" w:eastAsia="宋体" w:cs="Times New Roman"/>
                <w:bCs/>
                <w:color w:val="000000"/>
                <w:sz w:val="24"/>
                <w:szCs w:val="24"/>
                <w:highlight w:val="none"/>
                <w:lang w:val="en-US" w:eastAsia="zh-CN"/>
              </w:rPr>
              <w:t>t</w:t>
            </w:r>
            <w:r>
              <w:rPr>
                <w:rFonts w:hint="default" w:ascii="Times New Roman" w:hAnsi="Times New Roman" w:eastAsia="宋体" w:cs="Times New Roman"/>
                <w:bCs/>
                <w:color w:val="000000"/>
                <w:sz w:val="24"/>
                <w:szCs w:val="24"/>
                <w:highlight w:val="none"/>
              </w:rPr>
              <w:t>/d（</w:t>
            </w:r>
            <w:r>
              <w:rPr>
                <w:rFonts w:hint="eastAsia" w:cs="Times New Roman"/>
                <w:bCs/>
                <w:color w:val="000000"/>
                <w:sz w:val="24"/>
                <w:szCs w:val="24"/>
                <w:highlight w:val="none"/>
                <w:lang w:val="en-US" w:eastAsia="zh-CN"/>
              </w:rPr>
              <w:t>2700</w:t>
            </w:r>
            <w:r>
              <w:rPr>
                <w:rFonts w:hint="default" w:ascii="Times New Roman" w:hAnsi="Times New Roman" w:eastAsia="宋体" w:cs="Times New Roman"/>
                <w:bCs/>
                <w:color w:val="000000"/>
                <w:sz w:val="24"/>
                <w:szCs w:val="24"/>
                <w:highlight w:val="none"/>
              </w:rPr>
              <w:t>t/a），排污系数取0.</w:t>
            </w:r>
            <w:r>
              <w:rPr>
                <w:rFonts w:hint="default" w:ascii="Times New Roman" w:hAnsi="Times New Roman" w:eastAsia="宋体" w:cs="Times New Roman"/>
                <w:bCs/>
                <w:color w:val="000000"/>
                <w:sz w:val="24"/>
                <w:szCs w:val="24"/>
                <w:highlight w:val="none"/>
                <w:lang w:val="en-US" w:eastAsia="zh-CN"/>
              </w:rPr>
              <w:t>8</w:t>
            </w:r>
            <w:r>
              <w:rPr>
                <w:rFonts w:hint="default" w:ascii="Times New Roman" w:hAnsi="Times New Roman" w:eastAsia="宋体" w:cs="Times New Roman"/>
                <w:bCs/>
                <w:color w:val="000000"/>
                <w:sz w:val="24"/>
                <w:szCs w:val="24"/>
                <w:highlight w:val="none"/>
              </w:rPr>
              <w:t>，则生活污水的排放量</w:t>
            </w:r>
            <w:r>
              <w:rPr>
                <w:rFonts w:hint="eastAsia" w:cs="Times New Roman"/>
                <w:bCs/>
                <w:color w:val="000000"/>
                <w:sz w:val="24"/>
                <w:szCs w:val="24"/>
                <w:highlight w:val="none"/>
                <w:lang w:val="en-US" w:eastAsia="zh-CN"/>
              </w:rPr>
              <w:t>7</w:t>
            </w:r>
            <w:r>
              <w:rPr>
                <w:rFonts w:hint="eastAsia" w:ascii="Times New Roman" w:hAnsi="Times New Roman" w:eastAsia="宋体" w:cs="Times New Roman"/>
                <w:bCs/>
                <w:color w:val="000000"/>
                <w:sz w:val="24"/>
                <w:szCs w:val="24"/>
                <w:highlight w:val="none"/>
                <w:lang w:val="en-US" w:eastAsia="zh-CN"/>
              </w:rPr>
              <w:t>.2</w:t>
            </w:r>
            <w:r>
              <w:rPr>
                <w:rFonts w:hint="default" w:ascii="Times New Roman" w:hAnsi="Times New Roman" w:eastAsia="宋体" w:cs="Times New Roman"/>
                <w:bCs/>
                <w:color w:val="000000"/>
                <w:sz w:val="24"/>
                <w:szCs w:val="24"/>
                <w:highlight w:val="none"/>
                <w:lang w:val="en-US" w:eastAsia="zh-CN"/>
              </w:rPr>
              <w:t>t</w:t>
            </w:r>
            <w:r>
              <w:rPr>
                <w:rFonts w:hint="default" w:ascii="Times New Roman" w:hAnsi="Times New Roman" w:eastAsia="宋体" w:cs="Times New Roman"/>
                <w:bCs/>
                <w:color w:val="000000"/>
                <w:sz w:val="24"/>
                <w:szCs w:val="24"/>
                <w:highlight w:val="none"/>
              </w:rPr>
              <w:t>/d（</w:t>
            </w:r>
            <w:r>
              <w:rPr>
                <w:rFonts w:hint="eastAsia" w:cs="Times New Roman"/>
                <w:bCs/>
                <w:color w:val="000000"/>
                <w:sz w:val="24"/>
                <w:szCs w:val="24"/>
                <w:highlight w:val="none"/>
                <w:lang w:val="en-US" w:eastAsia="zh-CN"/>
              </w:rPr>
              <w:t>21</w:t>
            </w:r>
            <w:r>
              <w:rPr>
                <w:rFonts w:hint="eastAsia" w:ascii="Times New Roman" w:hAnsi="Times New Roman" w:eastAsia="宋体" w:cs="Times New Roman"/>
                <w:bCs/>
                <w:color w:val="000000"/>
                <w:sz w:val="24"/>
                <w:szCs w:val="24"/>
                <w:highlight w:val="none"/>
                <w:lang w:val="en-US" w:eastAsia="zh-CN"/>
              </w:rPr>
              <w:t>60</w:t>
            </w:r>
            <w:r>
              <w:rPr>
                <w:rFonts w:hint="default" w:ascii="Times New Roman" w:hAnsi="Times New Roman" w:eastAsia="宋体" w:cs="Times New Roman"/>
                <w:bCs/>
                <w:color w:val="000000"/>
                <w:sz w:val="24"/>
                <w:szCs w:val="24"/>
                <w:highlight w:val="none"/>
              </w:rPr>
              <w:t>t/a）</w:t>
            </w:r>
            <w:r>
              <w:rPr>
                <w:rFonts w:hint="default" w:ascii="Times New Roman" w:hAnsi="Times New Roman" w:eastAsia="宋体" w:cs="Times New Roman"/>
                <w:color w:val="000000"/>
                <w:sz w:val="24"/>
                <w:szCs w:val="24"/>
                <w:highlight w:val="none"/>
                <w:lang w:eastAsia="zh-CN"/>
              </w:rPr>
              <w:t>。</w:t>
            </w:r>
          </w:p>
          <w:p w14:paraId="211244F7">
            <w:pPr>
              <w:keepNext w:val="0"/>
              <w:keepLines w:val="0"/>
              <w:pageBreakBefore w:val="0"/>
              <w:widowControl w:val="0"/>
              <w:kinsoku/>
              <w:wordWrap/>
              <w:overflowPunct/>
              <w:topLinePunct w:val="0"/>
              <w:autoSpaceDE/>
              <w:autoSpaceDN/>
              <w:bidi w:val="0"/>
              <w:adjustRightInd w:val="0"/>
              <w:snapToGrid w:val="0"/>
              <w:spacing w:before="0" w:beforeLines="0" w:afterLines="0" w:line="360" w:lineRule="auto"/>
              <w:ind w:firstLine="480" w:firstLineChars="200"/>
              <w:jc w:val="both"/>
              <w:textAlignment w:val="auto"/>
              <w:outlineLvl w:val="9"/>
              <w:rPr>
                <w:rFonts w:hint="default" w:ascii="Times New Roman" w:hAnsi="Times New Roman" w:eastAsia="宋体" w:cs="Times New Roman"/>
                <w:bCs/>
                <w:color w:val="000000"/>
                <w:sz w:val="24"/>
                <w:szCs w:val="24"/>
                <w:highlight w:val="none"/>
                <w:lang w:val="en-US" w:eastAsia="zh-CN"/>
              </w:rPr>
            </w:pPr>
            <w:r>
              <w:rPr>
                <w:rFonts w:hint="default" w:ascii="Times New Roman" w:hAnsi="Times New Roman" w:eastAsia="宋体" w:cs="Times New Roman"/>
                <w:bCs/>
                <w:color w:val="000000"/>
                <w:sz w:val="24"/>
                <w:szCs w:val="24"/>
                <w:highlight w:val="none"/>
                <w:lang w:val="en-US" w:eastAsia="zh-CN"/>
              </w:rPr>
              <w:t>（2）</w:t>
            </w:r>
            <w:r>
              <w:rPr>
                <w:rFonts w:hint="eastAsia" w:ascii="Times New Roman" w:hAnsi="Times New Roman" w:eastAsia="宋体" w:cs="Times New Roman"/>
                <w:bCs/>
                <w:color w:val="000000"/>
                <w:sz w:val="24"/>
                <w:szCs w:val="24"/>
                <w:highlight w:val="none"/>
                <w:lang w:eastAsia="zh-CN"/>
              </w:rPr>
              <w:t>生产</w:t>
            </w:r>
            <w:r>
              <w:rPr>
                <w:rFonts w:hint="default" w:ascii="Times New Roman" w:hAnsi="Times New Roman" w:eastAsia="宋体" w:cs="Times New Roman"/>
                <w:bCs/>
                <w:color w:val="000000"/>
                <w:sz w:val="24"/>
                <w:szCs w:val="24"/>
                <w:highlight w:val="none"/>
                <w:lang w:val="en-US" w:eastAsia="zh-CN"/>
              </w:rPr>
              <w:t>用水</w:t>
            </w:r>
          </w:p>
          <w:p w14:paraId="359F4CFE">
            <w:pPr>
              <w:pStyle w:val="81"/>
              <w:spacing w:beforeLines="0" w:afterLines="0"/>
              <w:ind w:firstLine="48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项目生产用水主要为调浆用水及清洗废水，根据建设单位提供资料，项目调浆平均用水量为2.5m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/d（750t/a），这部分水混合在原料中，自然蒸发不外排。清洗废水主要来源印花桌、印花网框的冲洗废水及装胶浆的塑料筒的清洗废水。根据建设单位提供的资料，清洗用水平均用水量约为3m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/d（900t/a），排污系数以0.9计，则其排污水量为2.7m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/d（810t/a）。经“混凝沉淀+生物接触氧化”废水处理设施处理后经市政管网排入晋江仙石污水处理厂。</w:t>
            </w:r>
          </w:p>
          <w:p w14:paraId="29057900">
            <w:pPr>
              <w:pStyle w:val="81"/>
              <w:spacing w:beforeLines="0" w:afterLines="0"/>
              <w:ind w:firstLine="48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项目水平衡</w:t>
            </w:r>
          </w:p>
          <w:p w14:paraId="359C11E3">
            <w:pPr>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000000"/>
                <w:spacing w:val="2"/>
                <w:sz w:val="24"/>
                <w:szCs w:val="24"/>
                <w:highlight w:val="none"/>
                <w:lang w:val="en-US" w:eastAsia="zh-CN"/>
              </w:rPr>
            </w:pPr>
            <w:r>
              <w:rPr>
                <w:highlight w:val="none"/>
              </w:rPr>
              <w:drawing>
                <wp:inline distT="0" distB="0" distL="114300" distR="114300">
                  <wp:extent cx="5043170" cy="1877060"/>
                  <wp:effectExtent l="0" t="0" r="5080" b="889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4"/>
                          <a:stretch>
                            <a:fillRect/>
                          </a:stretch>
                        </pic:blipFill>
                        <pic:spPr>
                          <a:xfrm>
                            <a:off x="0" y="0"/>
                            <a:ext cx="5043170" cy="1877060"/>
                          </a:xfrm>
                          <a:prstGeom prst="rect">
                            <a:avLst/>
                          </a:prstGeom>
                          <a:noFill/>
                          <a:ln>
                            <a:noFill/>
                          </a:ln>
                        </pic:spPr>
                      </pic:pic>
                    </a:graphicData>
                  </a:graphic>
                </wp:inline>
              </w:drawing>
            </w:r>
          </w:p>
          <w:p w14:paraId="3610536C">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000000"/>
                <w:sz w:val="24"/>
                <w:szCs w:val="24"/>
                <w:highlight w:val="none"/>
              </w:rPr>
            </w:pPr>
            <w:bookmarkStart w:id="8" w:name="_Toc24094"/>
            <w:bookmarkStart w:id="9" w:name="_Toc40"/>
            <w:bookmarkStart w:id="10" w:name="_Toc25442"/>
            <w:bookmarkStart w:id="11" w:name="_Toc25146"/>
            <w:bookmarkStart w:id="12" w:name="_Toc4335"/>
            <w:bookmarkStart w:id="13" w:name="_Toc22364"/>
            <w:bookmarkStart w:id="14" w:name="_Toc404"/>
            <w:bookmarkStart w:id="15" w:name="_Toc25734"/>
            <w:bookmarkStart w:id="16" w:name="_Toc8418"/>
            <w:bookmarkStart w:id="17" w:name="_Toc16144"/>
            <w:bookmarkStart w:id="18" w:name="_Toc31197"/>
            <w:bookmarkStart w:id="19" w:name="_Toc2285"/>
            <w:r>
              <w:rPr>
                <w:rFonts w:hint="default" w:ascii="Times New Roman" w:hAnsi="Times New Roman" w:eastAsia="宋体" w:cs="Times New Roman"/>
                <w:b/>
                <w:bCs/>
                <w:color w:val="000000"/>
                <w:sz w:val="24"/>
                <w:szCs w:val="24"/>
                <w:highlight w:val="none"/>
              </w:rPr>
              <w:t>图</w:t>
            </w:r>
            <w:r>
              <w:rPr>
                <w:rFonts w:hint="default"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rPr>
              <w:t>-</w:t>
            </w:r>
            <w:r>
              <w:rPr>
                <w:rFonts w:hint="default" w:ascii="Times New Roman" w:hAnsi="Times New Roman" w:eastAsia="宋体" w:cs="Times New Roman"/>
                <w:b/>
                <w:bCs/>
                <w:color w:val="000000"/>
                <w:sz w:val="24"/>
                <w:szCs w:val="24"/>
                <w:highlight w:val="none"/>
                <w:lang w:val="en-US" w:eastAsia="zh-CN"/>
              </w:rPr>
              <w:t>1</w:t>
            </w:r>
            <w:r>
              <w:rPr>
                <w:rFonts w:hint="default" w:ascii="Times New Roman" w:hAnsi="Times New Roman" w:eastAsia="宋体" w:cs="Times New Roman"/>
                <w:b/>
                <w:bCs/>
                <w:color w:val="000000"/>
                <w:sz w:val="24"/>
                <w:szCs w:val="24"/>
                <w:highlight w:val="none"/>
              </w:rPr>
              <w:t>项目水平衡图（单位：t/d）</w:t>
            </w:r>
            <w:bookmarkEnd w:id="8"/>
            <w:bookmarkEnd w:id="9"/>
            <w:bookmarkEnd w:id="10"/>
            <w:bookmarkEnd w:id="11"/>
            <w:bookmarkEnd w:id="12"/>
            <w:bookmarkEnd w:id="13"/>
            <w:bookmarkEnd w:id="14"/>
            <w:bookmarkEnd w:id="15"/>
            <w:bookmarkEnd w:id="16"/>
            <w:bookmarkEnd w:id="17"/>
            <w:bookmarkEnd w:id="18"/>
            <w:bookmarkEnd w:id="19"/>
          </w:p>
          <w:p w14:paraId="6473CCC0">
            <w:pPr>
              <w:pStyle w:val="81"/>
              <w:spacing w:beforeLines="0" w:afterLines="0"/>
              <w:ind w:firstLine="480"/>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eastAsia="zh-CN"/>
              </w:rPr>
              <w:t>）供电</w:t>
            </w:r>
          </w:p>
          <w:p w14:paraId="595BE3E0">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9"/>
              <w:rPr>
                <w:rFonts w:hint="default" w:ascii="Times New Roman" w:hAnsi="Times New Roman" w:eastAsia="宋体" w:cs="Times New Roman"/>
                <w:b w:val="0"/>
                <w:bCs/>
                <w:color w:val="000000"/>
                <w:sz w:val="24"/>
                <w:szCs w:val="24"/>
                <w:highlight w:val="none"/>
                <w:lang w:val="en-US" w:eastAsia="zh-CN"/>
              </w:rPr>
            </w:pPr>
            <w:bookmarkStart w:id="20" w:name="_Toc13349"/>
            <w:r>
              <w:rPr>
                <w:rFonts w:hint="default" w:ascii="Times New Roman" w:hAnsi="Times New Roman" w:eastAsia="宋体" w:cs="Times New Roman"/>
                <w:b w:val="0"/>
                <w:bCs/>
                <w:color w:val="000000"/>
                <w:sz w:val="24"/>
                <w:szCs w:val="24"/>
                <w:highlight w:val="none"/>
                <w:lang w:val="en-US" w:eastAsia="zh-CN"/>
              </w:rPr>
              <w:t>项目用电由市政供电提供，年总用电量</w:t>
            </w:r>
            <w:r>
              <w:rPr>
                <w:rFonts w:hint="eastAsia" w:ascii="Times New Roman" w:hAnsi="Times New Roman" w:cs="Times New Roman"/>
                <w:b w:val="0"/>
                <w:bCs/>
                <w:color w:val="000000"/>
                <w:sz w:val="24"/>
                <w:szCs w:val="24"/>
                <w:highlight w:val="none"/>
                <w:lang w:val="en-US" w:eastAsia="zh-CN"/>
              </w:rPr>
              <w:t>25</w:t>
            </w:r>
            <w:r>
              <w:rPr>
                <w:rFonts w:hint="default" w:ascii="Times New Roman" w:hAnsi="Times New Roman" w:eastAsia="宋体" w:cs="Times New Roman"/>
                <w:b w:val="0"/>
                <w:bCs/>
                <w:color w:val="000000"/>
                <w:sz w:val="24"/>
                <w:szCs w:val="24"/>
                <w:highlight w:val="none"/>
                <w:lang w:val="en-US" w:eastAsia="zh-CN"/>
              </w:rPr>
              <w:t>万</w:t>
            </w:r>
            <w:r>
              <w:rPr>
                <w:rFonts w:hint="eastAsia" w:ascii="Times New Roman" w:hAnsi="Times New Roman" w:eastAsia="宋体" w:cs="Times New Roman"/>
                <w:b w:val="0"/>
                <w:bCs/>
                <w:color w:val="000000"/>
                <w:sz w:val="24"/>
                <w:szCs w:val="24"/>
                <w:highlight w:val="none"/>
                <w:lang w:val="en-US" w:eastAsia="zh-CN"/>
              </w:rPr>
              <w:t>kW</w:t>
            </w:r>
            <w:r>
              <w:rPr>
                <w:rFonts w:hint="default" w:ascii="Times New Roman" w:hAnsi="Times New Roman" w:eastAsia="宋体" w:cs="Times New Roman"/>
                <w:b w:val="0"/>
                <w:bCs/>
                <w:color w:val="000000"/>
                <w:sz w:val="24"/>
                <w:szCs w:val="24"/>
                <w:highlight w:val="none"/>
                <w:lang w:val="en-US" w:eastAsia="zh-CN"/>
              </w:rPr>
              <w:t>h。</w:t>
            </w:r>
            <w:bookmarkEnd w:id="20"/>
          </w:p>
          <w:p w14:paraId="5A6B9938">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9"/>
              <w:rPr>
                <w:rFonts w:hint="eastAsia" w:ascii="Times New Roman" w:hAnsi="Times New Roman" w:cs="Times New Roman"/>
                <w:b w:val="0"/>
                <w:bCs/>
                <w:color w:val="000000"/>
                <w:sz w:val="24"/>
                <w:szCs w:val="24"/>
                <w:highlight w:val="none"/>
                <w:lang w:val="en-US" w:eastAsia="zh-CN"/>
              </w:rPr>
            </w:pPr>
            <w:r>
              <w:rPr>
                <w:rFonts w:hint="eastAsia" w:ascii="Times New Roman" w:hAnsi="Times New Roman" w:cs="Times New Roman"/>
                <w:b w:val="0"/>
                <w:bCs/>
                <w:color w:val="000000"/>
                <w:sz w:val="24"/>
                <w:szCs w:val="24"/>
                <w:highlight w:val="none"/>
                <w:lang w:val="en-US" w:eastAsia="zh-CN"/>
              </w:rPr>
              <w:t>（5）燃料</w:t>
            </w:r>
          </w:p>
          <w:p w14:paraId="43F974F0">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9"/>
              <w:rPr>
                <w:rFonts w:hint="default" w:ascii="Times New Roman" w:hAnsi="Times New Roman" w:cs="Times New Roman"/>
                <w:b w:val="0"/>
                <w:bCs/>
                <w:color w:val="000000"/>
                <w:sz w:val="24"/>
                <w:szCs w:val="24"/>
                <w:highlight w:val="none"/>
                <w:lang w:val="en-US" w:eastAsia="zh-CN"/>
              </w:rPr>
            </w:pPr>
            <w:r>
              <w:rPr>
                <w:rFonts w:hint="eastAsia" w:ascii="Times New Roman" w:hAnsi="Times New Roman" w:cs="Times New Roman"/>
                <w:b w:val="0"/>
                <w:bCs/>
                <w:color w:val="000000"/>
                <w:sz w:val="24"/>
                <w:szCs w:val="24"/>
                <w:highlight w:val="none"/>
                <w:lang w:val="en-US" w:eastAsia="zh-CN"/>
              </w:rPr>
              <w:t>项目烘干工序使用的燃料为液化石油气，年用量为35t/a。</w:t>
            </w:r>
          </w:p>
          <w:p w14:paraId="2616CF28">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1"/>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rPr>
              <w:t>.</w:t>
            </w:r>
            <w:r>
              <w:rPr>
                <w:rFonts w:hint="eastAsia" w:ascii="Times New Roman" w:hAnsi="Times New Roman" w:eastAsia="宋体" w:cs="Times New Roman"/>
                <w:color w:val="000000"/>
                <w:highlight w:val="none"/>
                <w:lang w:val="en-US" w:eastAsia="zh-CN"/>
              </w:rPr>
              <w:t>9</w:t>
            </w:r>
            <w:r>
              <w:rPr>
                <w:rFonts w:hint="default" w:ascii="Times New Roman" w:hAnsi="Times New Roman" w:eastAsia="宋体" w:cs="Times New Roman"/>
                <w:color w:val="000000"/>
                <w:highlight w:val="none"/>
                <w:lang w:val="en-US" w:eastAsia="zh-CN"/>
              </w:rPr>
              <w:t>项目</w:t>
            </w:r>
            <w:r>
              <w:rPr>
                <w:rFonts w:hint="default" w:ascii="Times New Roman" w:hAnsi="Times New Roman" w:eastAsia="宋体" w:cs="Times New Roman"/>
                <w:color w:val="000000"/>
                <w:highlight w:val="none"/>
              </w:rPr>
              <w:t>平面布局合理性分析</w:t>
            </w:r>
          </w:p>
          <w:p w14:paraId="0A555A4C">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1"/>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b w:val="0"/>
                <w:bCs/>
                <w:color w:val="000000"/>
                <w:kern w:val="1"/>
                <w:sz w:val="24"/>
                <w:szCs w:val="24"/>
                <w:highlight w:val="none"/>
                <w:lang w:val="en-US" w:eastAsia="zh-CN"/>
              </w:rPr>
              <w:t>根据现场勘察，</w:t>
            </w:r>
            <w:r>
              <w:rPr>
                <w:rFonts w:hint="default" w:ascii="Times New Roman" w:hAnsi="Times New Roman" w:eastAsia="宋体" w:cs="Times New Roman"/>
                <w:b w:val="0"/>
                <w:bCs/>
                <w:color w:val="000000"/>
                <w:sz w:val="24"/>
                <w:szCs w:val="24"/>
                <w:highlight w:val="none"/>
                <w:lang w:eastAsia="zh-CN"/>
              </w:rPr>
              <w:t>项目</w:t>
            </w:r>
            <w:r>
              <w:rPr>
                <w:rFonts w:hint="eastAsia" w:ascii="Times New Roman" w:hAnsi="Times New Roman" w:eastAsia="宋体" w:cs="Times New Roman"/>
                <w:b w:val="0"/>
                <w:bCs/>
                <w:color w:val="000000"/>
                <w:sz w:val="24"/>
                <w:szCs w:val="24"/>
                <w:highlight w:val="none"/>
                <w:lang w:eastAsia="zh-CN"/>
              </w:rPr>
              <w:t>共有</w:t>
            </w:r>
            <w:r>
              <w:rPr>
                <w:rFonts w:hint="eastAsia" w:ascii="Times New Roman" w:hAnsi="Times New Roman" w:eastAsia="宋体" w:cs="Times New Roman"/>
                <w:b w:val="0"/>
                <w:bCs/>
                <w:color w:val="000000"/>
                <w:sz w:val="24"/>
                <w:szCs w:val="24"/>
                <w:highlight w:val="none"/>
                <w:lang w:val="en-US" w:eastAsia="zh-CN"/>
              </w:rPr>
              <w:t>1幢6F砼结构厂房，厂区</w:t>
            </w:r>
            <w:r>
              <w:rPr>
                <w:rFonts w:hint="eastAsia" w:ascii="Times New Roman" w:hAnsi="Times New Roman" w:eastAsia="宋体" w:cs="Times New Roman"/>
                <w:b w:val="0"/>
                <w:bCs/>
                <w:color w:val="000000"/>
                <w:sz w:val="24"/>
                <w:szCs w:val="24"/>
                <w:highlight w:val="none"/>
              </w:rPr>
              <w:t>主</w:t>
            </w:r>
            <w:r>
              <w:rPr>
                <w:rFonts w:hint="eastAsia" w:ascii="Times New Roman" w:hAnsi="Times New Roman" w:eastAsia="宋体" w:cs="Times New Roman"/>
                <w:b w:val="0"/>
                <w:bCs/>
                <w:color w:val="000000"/>
                <w:sz w:val="24"/>
                <w:szCs w:val="24"/>
                <w:highlight w:val="none"/>
                <w:lang w:eastAsia="zh-CN"/>
              </w:rPr>
              <w:t>出</w:t>
            </w:r>
            <w:r>
              <w:rPr>
                <w:rFonts w:hint="eastAsia" w:ascii="Times New Roman" w:hAnsi="Times New Roman" w:eastAsia="宋体" w:cs="Times New Roman"/>
                <w:b w:val="0"/>
                <w:bCs/>
                <w:color w:val="000000"/>
                <w:sz w:val="24"/>
                <w:szCs w:val="24"/>
                <w:highlight w:val="none"/>
              </w:rPr>
              <w:t>入口设置在</w:t>
            </w:r>
            <w:r>
              <w:rPr>
                <w:rFonts w:hint="eastAsia" w:ascii="Times New Roman" w:hAnsi="Times New Roman" w:eastAsia="宋体" w:cs="Times New Roman"/>
                <w:b w:val="0"/>
                <w:bCs/>
                <w:color w:val="000000"/>
                <w:sz w:val="24"/>
                <w:szCs w:val="24"/>
                <w:highlight w:val="none"/>
                <w:lang w:eastAsia="zh-CN"/>
              </w:rPr>
              <w:t>北</w:t>
            </w:r>
            <w:r>
              <w:rPr>
                <w:rFonts w:hint="eastAsia" w:ascii="Times New Roman" w:hAnsi="Times New Roman" w:eastAsia="宋体" w:cs="Times New Roman"/>
                <w:b w:val="0"/>
                <w:bCs/>
                <w:color w:val="000000"/>
                <w:sz w:val="24"/>
                <w:szCs w:val="24"/>
                <w:highlight w:val="none"/>
              </w:rPr>
              <w:t>侧</w:t>
            </w:r>
            <w:r>
              <w:rPr>
                <w:rFonts w:hint="eastAsia" w:ascii="Times New Roman" w:hAnsi="Times New Roman" w:eastAsia="宋体" w:cs="Times New Roman"/>
                <w:b w:val="0"/>
                <w:bCs/>
                <w:color w:val="000000"/>
                <w:sz w:val="24"/>
                <w:szCs w:val="24"/>
                <w:highlight w:val="none"/>
                <w:lang w:eastAsia="zh-CN"/>
              </w:rPr>
              <w:t>。本项目位于</w:t>
            </w:r>
            <w:r>
              <w:rPr>
                <w:rFonts w:hint="eastAsia" w:ascii="Times New Roman" w:hAnsi="Times New Roman" w:eastAsia="宋体" w:cs="Times New Roman"/>
                <w:b w:val="0"/>
                <w:bCs/>
                <w:color w:val="000000"/>
                <w:sz w:val="24"/>
                <w:szCs w:val="24"/>
                <w:highlight w:val="none"/>
                <w:lang w:val="en-US" w:eastAsia="zh-CN"/>
              </w:rPr>
              <w:t>厂房1~</w:t>
            </w:r>
            <w:r>
              <w:rPr>
                <w:rFonts w:hint="eastAsia" w:ascii="Times New Roman" w:hAnsi="Times New Roman" w:cs="Times New Roman"/>
                <w:b w:val="0"/>
                <w:bCs/>
                <w:color w:val="000000"/>
                <w:sz w:val="24"/>
                <w:szCs w:val="24"/>
                <w:highlight w:val="none"/>
                <w:lang w:val="en-US" w:eastAsia="zh-CN"/>
              </w:rPr>
              <w:t>2F、4~</w:t>
            </w:r>
            <w:r>
              <w:rPr>
                <w:rFonts w:hint="eastAsia" w:ascii="Times New Roman" w:hAnsi="Times New Roman" w:eastAsia="宋体" w:cs="Times New Roman"/>
                <w:b w:val="0"/>
                <w:bCs/>
                <w:color w:val="000000"/>
                <w:sz w:val="24"/>
                <w:szCs w:val="24"/>
                <w:highlight w:val="none"/>
                <w:lang w:val="en-US" w:eastAsia="zh-CN"/>
              </w:rPr>
              <w:t>6F，</w:t>
            </w:r>
            <w:r>
              <w:rPr>
                <w:rFonts w:hint="eastAsia" w:ascii="Times New Roman" w:hAnsi="Times New Roman" w:cs="Times New Roman"/>
                <w:b w:val="0"/>
                <w:bCs/>
                <w:color w:val="000000"/>
                <w:sz w:val="24"/>
                <w:szCs w:val="24"/>
                <w:highlight w:val="none"/>
                <w:lang w:val="en-US" w:eastAsia="zh-CN"/>
              </w:rPr>
              <w:t>1F为印花布生产车间，2F为印花布、印花片生产车间，4F为印花片、服装印花生产车间，5F为印花片、服装印花生产车间，6F为制版车间</w:t>
            </w:r>
            <w:r>
              <w:rPr>
                <w:rFonts w:hint="eastAsia" w:ascii="Times New Roman" w:hAnsi="Times New Roman" w:eastAsia="宋体" w:cs="Times New Roman"/>
                <w:b w:val="0"/>
                <w:bCs/>
                <w:color w:val="000000"/>
                <w:sz w:val="24"/>
                <w:szCs w:val="24"/>
                <w:highlight w:val="none"/>
                <w:lang w:val="en-US" w:eastAsia="zh-CN"/>
              </w:rPr>
              <w:t>，本项目的办公场所和职工倒班宿舍依托厂区原有项目所有。建设单位根据实际生产工艺流程，合理布置厂区结构，按照最优设计，可大大节约生产空间，提高生产效率，</w:t>
            </w:r>
            <w:r>
              <w:rPr>
                <w:rFonts w:hint="eastAsia" w:ascii="Times New Roman" w:hAnsi="Times New Roman" w:eastAsia="宋体" w:cs="Times New Roman"/>
                <w:b w:val="0"/>
                <w:bCs/>
                <w:color w:val="000000"/>
                <w:sz w:val="24"/>
                <w:szCs w:val="24"/>
                <w:highlight w:val="none"/>
                <w:lang w:eastAsia="zh-CN"/>
              </w:rPr>
              <w:t>根据项目厂区平面布置图</w:t>
            </w:r>
            <w:r>
              <w:rPr>
                <w:rFonts w:hint="eastAsia" w:ascii="Times New Roman" w:hAnsi="Times New Roman" w:eastAsia="宋体" w:cs="Times New Roman"/>
                <w:b w:val="0"/>
                <w:bCs/>
                <w:color w:val="000000"/>
                <w:sz w:val="24"/>
                <w:szCs w:val="24"/>
                <w:highlight w:val="none"/>
                <w:lang w:val="en-US" w:eastAsia="zh-CN"/>
              </w:rPr>
              <w:t>所示，</w:t>
            </w:r>
            <w:r>
              <w:rPr>
                <w:rFonts w:hint="default" w:ascii="Times New Roman" w:hAnsi="Times New Roman" w:eastAsia="宋体" w:cs="Times New Roman"/>
                <w:b w:val="0"/>
                <w:bCs/>
                <w:color w:val="000000"/>
                <w:sz w:val="24"/>
                <w:szCs w:val="24"/>
                <w:highlight w:val="none"/>
              </w:rPr>
              <w:t>项目功能分区明确，总</w:t>
            </w:r>
            <w:r>
              <w:rPr>
                <w:rFonts w:hint="eastAsia" w:ascii="Times New Roman" w:hAnsi="Times New Roman" w:eastAsia="宋体" w:cs="Times New Roman"/>
                <w:b w:val="0"/>
                <w:bCs/>
                <w:color w:val="000000"/>
                <w:sz w:val="24"/>
                <w:szCs w:val="24"/>
                <w:highlight w:val="none"/>
                <w:lang w:eastAsia="zh-CN"/>
              </w:rPr>
              <w:t>体</w:t>
            </w:r>
            <w:r>
              <w:rPr>
                <w:rFonts w:hint="default" w:ascii="Times New Roman" w:hAnsi="Times New Roman" w:eastAsia="宋体" w:cs="Times New Roman"/>
                <w:b w:val="0"/>
                <w:bCs/>
                <w:color w:val="000000"/>
                <w:sz w:val="24"/>
                <w:szCs w:val="24"/>
                <w:highlight w:val="none"/>
              </w:rPr>
              <w:t>平面布置合理。</w:t>
            </w:r>
          </w:p>
          <w:p w14:paraId="236714FA">
            <w:pPr>
              <w:pStyle w:val="56"/>
              <w:keepNext w:val="0"/>
              <w:keepLines w:val="0"/>
              <w:pageBreakBefore w:val="0"/>
              <w:widowControl w:val="0"/>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lang w:val="en-US" w:eastAsia="zh-CN"/>
              </w:rPr>
              <w:t>2.</w:t>
            </w:r>
            <w:r>
              <w:rPr>
                <w:rFonts w:hint="eastAsia" w:ascii="Times New Roman" w:hAnsi="Times New Roman" w:eastAsia="宋体" w:cs="Times New Roman"/>
                <w:color w:val="000000"/>
                <w:highlight w:val="none"/>
                <w:lang w:val="en-US" w:eastAsia="zh-CN"/>
              </w:rPr>
              <w:t>10</w:t>
            </w:r>
            <w:r>
              <w:rPr>
                <w:rFonts w:hint="default" w:ascii="Times New Roman" w:hAnsi="Times New Roman" w:eastAsia="宋体" w:cs="Times New Roman"/>
                <w:color w:val="000000"/>
                <w:highlight w:val="none"/>
              </w:rPr>
              <w:t>生产工艺流程及产污环节</w:t>
            </w:r>
          </w:p>
          <w:p w14:paraId="3FF247E7">
            <w:pPr>
              <w:pStyle w:val="9"/>
              <w:spacing w:line="360" w:lineRule="auto"/>
              <w:rPr>
                <w:rFonts w:hint="default"/>
                <w:highlight w:val="none"/>
                <w:lang w:val="en-US" w:eastAsia="zh-CN"/>
              </w:rPr>
            </w:pP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1）</w:t>
            </w:r>
            <w:r>
              <w:rPr>
                <w:rFonts w:hint="eastAsia" w:ascii="Times New Roman" w:hAnsi="Times New Roman" w:cs="Times New Roman"/>
                <w:sz w:val="24"/>
                <w:szCs w:val="24"/>
                <w:highlight w:val="none"/>
                <w:lang w:val="en-US" w:eastAsia="zh-CN"/>
              </w:rPr>
              <w:t>项目主要</w:t>
            </w:r>
            <w:r>
              <w:rPr>
                <w:rFonts w:hint="default" w:ascii="Times New Roman" w:hAnsi="Times New Roman" w:cs="Times New Roman"/>
                <w:sz w:val="24"/>
                <w:szCs w:val="24"/>
                <w:highlight w:val="none"/>
                <w:lang w:val="en-US" w:eastAsia="zh-CN"/>
              </w:rPr>
              <w:t>生产工艺及产污环节</w:t>
            </w:r>
          </w:p>
          <w:p w14:paraId="0310284A">
            <w:pPr>
              <w:jc w:val="center"/>
              <w:rPr>
                <w:highlight w:val="none"/>
              </w:rPr>
            </w:pPr>
            <w:r>
              <w:drawing>
                <wp:inline distT="0" distB="0" distL="114300" distR="114300">
                  <wp:extent cx="5040630" cy="1369060"/>
                  <wp:effectExtent l="0" t="0" r="7620" b="2540"/>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15"/>
                          <a:stretch>
                            <a:fillRect/>
                          </a:stretch>
                        </pic:blipFill>
                        <pic:spPr>
                          <a:xfrm>
                            <a:off x="0" y="0"/>
                            <a:ext cx="5040630" cy="1369060"/>
                          </a:xfrm>
                          <a:prstGeom prst="rect">
                            <a:avLst/>
                          </a:prstGeom>
                          <a:noFill/>
                          <a:ln>
                            <a:noFill/>
                          </a:ln>
                        </pic:spPr>
                      </pic:pic>
                    </a:graphicData>
                  </a:graphic>
                </wp:inline>
              </w:drawing>
            </w:r>
          </w:p>
          <w:p w14:paraId="297DEE84">
            <w:pPr>
              <w:pStyle w:val="41"/>
              <w:jc w:val="center"/>
              <w:rPr>
                <w:rFonts w:hint="default" w:ascii="Times New Roman" w:hAnsi="Times New Roman" w:eastAsia="宋体" w:cs="Times New Roman"/>
                <w:b/>
                <w:color w:val="000000"/>
                <w:kern w:val="2"/>
                <w:sz w:val="24"/>
                <w:szCs w:val="24"/>
                <w:highlight w:val="none"/>
                <w:lang w:val="en-US" w:eastAsia="zh-CN" w:bidi="ar-SA"/>
              </w:rPr>
            </w:pPr>
            <w:r>
              <w:rPr>
                <w:rFonts w:hint="eastAsia" w:ascii="Times New Roman" w:hAnsi="Times New Roman" w:eastAsia="宋体" w:cs="Times New Roman"/>
                <w:b/>
                <w:color w:val="000000"/>
                <w:kern w:val="2"/>
                <w:sz w:val="24"/>
                <w:szCs w:val="24"/>
                <w:highlight w:val="none"/>
                <w:lang w:val="en-US" w:eastAsia="zh-CN" w:bidi="ar-SA"/>
              </w:rPr>
              <w:t>图2-2 项目制版主要生产工艺</w:t>
            </w:r>
          </w:p>
          <w:p w14:paraId="02F50084">
            <w:pPr>
              <w:spacing w:line="360" w:lineRule="auto"/>
              <w:jc w:val="center"/>
              <w:rPr>
                <w:rFonts w:hint="default" w:ascii="Times New Roman" w:hAnsi="Times New Roman" w:eastAsia="宋体" w:cs="Times New Roman"/>
                <w:color w:val="000000"/>
                <w:sz w:val="21"/>
                <w:highlight w:val="none"/>
              </w:rPr>
            </w:pPr>
            <w:r>
              <w:rPr>
                <w:highlight w:val="none"/>
              </w:rPr>
              <w:drawing>
                <wp:inline distT="0" distB="0" distL="114300" distR="114300">
                  <wp:extent cx="5041265" cy="1911985"/>
                  <wp:effectExtent l="0" t="0" r="6985" b="1206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6"/>
                          <a:stretch>
                            <a:fillRect/>
                          </a:stretch>
                        </pic:blipFill>
                        <pic:spPr>
                          <a:xfrm>
                            <a:off x="0" y="0"/>
                            <a:ext cx="5041265" cy="1911985"/>
                          </a:xfrm>
                          <a:prstGeom prst="rect">
                            <a:avLst/>
                          </a:prstGeom>
                          <a:noFill/>
                          <a:ln>
                            <a:noFill/>
                          </a:ln>
                        </pic:spPr>
                      </pic:pic>
                    </a:graphicData>
                  </a:graphic>
                </wp:inline>
              </w:drawing>
            </w:r>
          </w:p>
          <w:p w14:paraId="620E2E81">
            <w:pPr>
              <w:spacing w:line="360" w:lineRule="auto"/>
              <w:jc w:val="center"/>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eastAsia="宋体" w:cs="Times New Roman"/>
                <w:b/>
                <w:color w:val="000000"/>
                <w:sz w:val="24"/>
                <w:szCs w:val="24"/>
                <w:highlight w:val="none"/>
              </w:rPr>
              <w:t>图</w:t>
            </w:r>
            <w:r>
              <w:rPr>
                <w:rFonts w:hint="eastAsia" w:ascii="Times New Roman" w:hAnsi="Times New Roman" w:eastAsia="宋体" w:cs="Times New Roman"/>
                <w:b/>
                <w:color w:val="000000"/>
                <w:sz w:val="24"/>
                <w:szCs w:val="24"/>
                <w:highlight w:val="none"/>
                <w:lang w:val="en-US" w:eastAsia="zh-CN"/>
              </w:rPr>
              <w:t>2</w:t>
            </w:r>
            <w:r>
              <w:rPr>
                <w:rFonts w:hint="default" w:ascii="Times New Roman" w:hAnsi="Times New Roman" w:eastAsia="宋体" w:cs="Times New Roman"/>
                <w:b/>
                <w:color w:val="000000"/>
                <w:sz w:val="24"/>
                <w:szCs w:val="24"/>
                <w:highlight w:val="none"/>
              </w:rPr>
              <w:t>-</w:t>
            </w:r>
            <w:r>
              <w:rPr>
                <w:rFonts w:hint="eastAsia" w:ascii="Times New Roman" w:hAnsi="Times New Roman" w:eastAsia="宋体" w:cs="Times New Roman"/>
                <w:b/>
                <w:color w:val="000000"/>
                <w:sz w:val="24"/>
                <w:szCs w:val="24"/>
                <w:highlight w:val="none"/>
                <w:lang w:val="en-US" w:eastAsia="zh-CN"/>
              </w:rPr>
              <w:t>3</w:t>
            </w:r>
            <w:r>
              <w:rPr>
                <w:rFonts w:hint="default" w:ascii="Times New Roman" w:hAnsi="Times New Roman" w:eastAsia="宋体" w:cs="Times New Roman"/>
                <w:b/>
                <w:color w:val="000000"/>
                <w:sz w:val="24"/>
                <w:szCs w:val="24"/>
                <w:highlight w:val="none"/>
              </w:rPr>
              <w:t>项目</w:t>
            </w:r>
            <w:r>
              <w:rPr>
                <w:rFonts w:hint="eastAsia" w:ascii="Times New Roman" w:hAnsi="Times New Roman" w:eastAsia="宋体" w:cs="Times New Roman"/>
                <w:b/>
                <w:color w:val="000000"/>
                <w:sz w:val="24"/>
                <w:szCs w:val="24"/>
                <w:highlight w:val="none"/>
                <w:lang w:eastAsia="zh-CN"/>
              </w:rPr>
              <w:t>丝印主要</w:t>
            </w:r>
            <w:r>
              <w:rPr>
                <w:rFonts w:hint="eastAsia" w:ascii="Times New Roman" w:hAnsi="Times New Roman" w:eastAsia="宋体" w:cs="Times New Roman"/>
                <w:b/>
                <w:color w:val="000000"/>
                <w:sz w:val="24"/>
                <w:szCs w:val="24"/>
                <w:highlight w:val="none"/>
                <w:lang w:val="en-US" w:eastAsia="zh-CN"/>
              </w:rPr>
              <w:t>生产工艺</w:t>
            </w:r>
          </w:p>
          <w:p w14:paraId="1C8C6492">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2" w:firstLineChars="200"/>
              <w:jc w:val="both"/>
              <w:textAlignment w:val="auto"/>
              <w:outlineLvl w:val="1"/>
              <w:rPr>
                <w:rFonts w:hint="default" w:ascii="Times New Roman" w:hAnsi="Times New Roman" w:eastAsia="宋体" w:cs="Times New Roman"/>
                <w:b/>
                <w:color w:val="000000"/>
                <w:sz w:val="24"/>
                <w:szCs w:val="24"/>
                <w:highlight w:val="none"/>
                <w:lang w:eastAsia="zh-CN"/>
              </w:rPr>
            </w:pPr>
            <w:r>
              <w:rPr>
                <w:rFonts w:hint="default" w:ascii="Times New Roman" w:hAnsi="Times New Roman" w:eastAsia="宋体" w:cs="Times New Roman"/>
                <w:b/>
                <w:color w:val="000000"/>
                <w:sz w:val="24"/>
                <w:szCs w:val="24"/>
                <w:highlight w:val="none"/>
                <w:lang w:eastAsia="zh-CN"/>
              </w:rPr>
              <w:t>工艺说明：</w:t>
            </w:r>
          </w:p>
          <w:p w14:paraId="59D450C8">
            <w:pPr>
              <w:pStyle w:val="63"/>
              <w:spacing w:line="360" w:lineRule="auto"/>
              <w:ind w:left="0" w:right="0" w:firstLine="480" w:firstLineChars="200"/>
              <w:jc w:val="both"/>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①制版：</w:t>
            </w:r>
          </w:p>
          <w:p w14:paraId="6D1B5756">
            <w:pPr>
              <w:spacing w:beforeLines="0" w:afterLines="0" w:line="360" w:lineRule="auto"/>
              <w:ind w:firstLine="480" w:firstLineChars="200"/>
              <w:jc w:val="both"/>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本项目外购网版作为原料，在网版上涂上感光胶，将菲林片覆盖于其上，进行晒版，晒版是使感光胶发生选择性地硬化，即图形处硬化充分；非图形处不硬化或者轻微硬化，但仍可以被水冲洗。晒版后的网版用水清洗至图像清晰后晾干待用。</w:t>
            </w:r>
          </w:p>
          <w:p w14:paraId="50EFD888">
            <w:pPr>
              <w:pStyle w:val="63"/>
              <w:spacing w:line="360" w:lineRule="auto"/>
              <w:ind w:left="0" w:right="0" w:firstLine="480" w:firstLineChars="200"/>
              <w:jc w:val="both"/>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②丝印：</w:t>
            </w:r>
          </w:p>
          <w:p w14:paraId="11A97962">
            <w:pPr>
              <w:pStyle w:val="4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ighlight w:val="none"/>
                <w:lang w:val="en-US" w:eastAsia="zh-CN"/>
              </w:rPr>
            </w:pPr>
            <w:r>
              <w:rPr>
                <w:rFonts w:hint="eastAsia"/>
                <w:highlight w:val="none"/>
                <w:lang w:val="en-US" w:eastAsia="zh-CN"/>
              </w:rPr>
              <w:t>将固浆、胶浆等原料按一定比例调配好的浆料导入丝网版框，采用人工或者丝印机丝印方式，使浆料透过丝网版框印刷在布片上。根据天气情况，潮湿天气使用裁片丝印机配套的隧道烘干机进行烘干（烘干机采用液化石油气为能源，烘干温度</w:t>
            </w:r>
            <w:r>
              <w:rPr>
                <w:rFonts w:hint="default" w:ascii="Times New Roman" w:hAnsi="Times New Roman" w:cs="Times New Roman"/>
                <w:highlight w:val="none"/>
                <w:lang w:val="en-US" w:eastAsia="zh-CN"/>
              </w:rPr>
              <w:t>约50℃</w:t>
            </w:r>
            <w:r>
              <w:rPr>
                <w:rFonts w:hint="eastAsia"/>
                <w:highlight w:val="none"/>
                <w:lang w:val="en-US" w:eastAsia="zh-CN"/>
              </w:rPr>
              <w:t>，温度较低，不会导致丝印布料、固浆、胶浆、色浆等原料发生裂解，产生的有机废气主要为固浆、胶浆原料中的挥发性有机成分）；干燥天气丝印片采用自然晾干。烘干或晾干后的丝印</w:t>
            </w:r>
            <w:r>
              <w:rPr>
                <w:rFonts w:hint="eastAsia"/>
                <w:color w:val="auto"/>
                <w:highlight w:val="none"/>
                <w:lang w:val="en-US" w:eastAsia="zh-CN"/>
              </w:rPr>
              <w:t>片/服装</w:t>
            </w:r>
            <w:r>
              <w:rPr>
                <w:rFonts w:hint="eastAsia"/>
                <w:highlight w:val="none"/>
                <w:lang w:val="en-US" w:eastAsia="zh-CN"/>
              </w:rPr>
              <w:t>经检验后即为成品。</w:t>
            </w:r>
          </w:p>
          <w:p w14:paraId="02F8A892">
            <w:pPr>
              <w:pStyle w:val="63"/>
              <w:spacing w:beforeLines="0" w:afterLines="0" w:line="360" w:lineRule="auto"/>
              <w:ind w:left="0" w:right="0"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产污环节：</w:t>
            </w:r>
          </w:p>
          <w:p w14:paraId="62DE6A13">
            <w:pPr>
              <w:pStyle w:val="63"/>
              <w:spacing w:beforeLines="0" w:afterLines="0" w:line="360" w:lineRule="auto"/>
              <w:ind w:left="0" w:right="0" w:firstLine="480" w:firstLineChars="200"/>
              <w:jc w:val="both"/>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①废水：项目废水主要为生产废水及职工生活用水。项目生产废水主要为</w:t>
            </w:r>
            <w:r>
              <w:rPr>
                <w:rFonts w:hint="eastAsia" w:cs="Times New Roman"/>
                <w:color w:val="auto"/>
                <w:sz w:val="24"/>
                <w:szCs w:val="24"/>
                <w:highlight w:val="none"/>
                <w:lang w:val="en-US" w:eastAsia="zh-CN"/>
              </w:rPr>
              <w:t>印花桌、印花网框的冲洗废水及装胶浆的塑料筒的清洗废水。</w:t>
            </w:r>
          </w:p>
          <w:p w14:paraId="5B2821BB">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②废气：项目废气主要为制版的涂胶</w:t>
            </w:r>
            <w:r>
              <w:rPr>
                <w:rFonts w:hint="eastAsia" w:cs="Times New Roman"/>
                <w:color w:val="000000"/>
                <w:kern w:val="2"/>
                <w:sz w:val="24"/>
                <w:szCs w:val="24"/>
                <w:highlight w:val="none"/>
                <w:lang w:val="en-US" w:eastAsia="zh-CN" w:bidi="ar-SA"/>
              </w:rPr>
              <w:t>、晒版</w:t>
            </w:r>
            <w:r>
              <w:rPr>
                <w:rFonts w:hint="eastAsia" w:ascii="Times New Roman" w:hAnsi="Times New Roman" w:eastAsia="宋体" w:cs="Times New Roman"/>
                <w:color w:val="000000"/>
                <w:kern w:val="2"/>
                <w:sz w:val="24"/>
                <w:szCs w:val="24"/>
                <w:highlight w:val="none"/>
                <w:lang w:val="en-US" w:eastAsia="zh-CN" w:bidi="ar-SA"/>
              </w:rPr>
              <w:t>工序和丝印的调浆、丝印、晾干/烘干工序产生的有机废气</w:t>
            </w:r>
            <w:r>
              <w:rPr>
                <w:rFonts w:hint="eastAsia" w:cs="Times New Roman"/>
                <w:color w:val="auto"/>
                <w:kern w:val="2"/>
                <w:sz w:val="24"/>
                <w:szCs w:val="24"/>
                <w:highlight w:val="none"/>
                <w:lang w:val="en-US" w:eastAsia="zh-CN" w:bidi="ar-SA"/>
              </w:rPr>
              <w:t>及液化石油气燃烧产生的燃烧废气</w:t>
            </w:r>
            <w:r>
              <w:rPr>
                <w:rFonts w:hint="eastAsia" w:ascii="Times New Roman" w:hAnsi="Times New Roman" w:eastAsia="宋体" w:cs="Times New Roman"/>
                <w:color w:val="0000FF"/>
                <w:kern w:val="2"/>
                <w:sz w:val="24"/>
                <w:szCs w:val="24"/>
                <w:highlight w:val="none"/>
                <w:lang w:val="en-US" w:eastAsia="zh-CN" w:bidi="ar-SA"/>
              </w:rPr>
              <w:t>。</w:t>
            </w:r>
          </w:p>
          <w:p w14:paraId="551F4B20">
            <w:pPr>
              <w:pStyle w:val="63"/>
              <w:spacing w:beforeLines="0" w:afterLines="0" w:line="360" w:lineRule="auto"/>
              <w:ind w:left="0" w:right="0" w:firstLine="480" w:firstLineChars="200"/>
              <w:jc w:val="both"/>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eastAsia="zh-CN"/>
              </w:rPr>
              <w:t>③噪声</w:t>
            </w:r>
            <w:r>
              <w:rPr>
                <w:rFonts w:hint="eastAsia" w:ascii="Times New Roman" w:hAnsi="Times New Roman" w:eastAsia="宋体" w:cs="Times New Roman"/>
                <w:color w:val="000000"/>
                <w:sz w:val="24"/>
                <w:szCs w:val="24"/>
                <w:highlight w:val="none"/>
                <w:lang w:val="en-US" w:eastAsia="zh-CN"/>
              </w:rPr>
              <w:t xml:space="preserve"> ：项目噪声主要为生产设备运行过程中产生的机械噪声。</w:t>
            </w:r>
          </w:p>
          <w:p w14:paraId="1EEA5C3E">
            <w:pPr>
              <w:pStyle w:val="63"/>
              <w:spacing w:beforeLines="0" w:afterLines="0" w:line="360" w:lineRule="auto"/>
              <w:ind w:left="0" w:right="0" w:firstLine="480" w:firstLineChars="200"/>
              <w:jc w:val="both"/>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④固废：职工生活垃圾；检验工序产生的废次品；项目淘汰图案时会产生废丝印版框和废菲林片；胶浆、固浆、感光胶等使用后会产生原料空桶；活性炭吸附装置定期维护会产生废活性炭；废水处理设施运行会产生污泥。</w:t>
            </w:r>
          </w:p>
          <w:p w14:paraId="3C5CDF47">
            <w:pPr>
              <w:rPr>
                <w:rFonts w:hint="default" w:ascii="宋体" w:hAnsi="宋体" w:eastAsia="宋体" w:cs="宋体"/>
                <w:color w:val="000000"/>
                <w:spacing w:val="0"/>
                <w:sz w:val="10"/>
                <w:szCs w:val="10"/>
                <w:highlight w:val="none"/>
                <w:lang w:val="en-US" w:eastAsia="zh-CN"/>
              </w:rPr>
            </w:pPr>
          </w:p>
        </w:tc>
      </w:tr>
      <w:tr w14:paraId="59740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18" w:hRule="atLeast"/>
          <w:jc w:val="center"/>
        </w:trPr>
        <w:tc>
          <w:tcPr>
            <w:tcW w:w="823" w:type="dxa"/>
            <w:noWrap w:val="0"/>
            <w:vAlign w:val="center"/>
          </w:tcPr>
          <w:p w14:paraId="02A7B048">
            <w:pPr>
              <w:pStyle w:val="23"/>
              <w:widowControl w:val="0"/>
              <w:adjustRightInd w:val="0"/>
              <w:snapToGrid w:val="0"/>
              <w:spacing w:before="0" w:beforeAutospacing="0" w:after="0" w:afterAutospacing="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Cs/>
                <w:color w:val="000000"/>
                <w:kern w:val="2"/>
                <w:sz w:val="24"/>
                <w:szCs w:val="24"/>
                <w:highlight w:val="none"/>
              </w:rPr>
              <w:t>与项目有关的原有环境污染问题</w:t>
            </w:r>
          </w:p>
        </w:tc>
        <w:tc>
          <w:tcPr>
            <w:tcW w:w="8161" w:type="dxa"/>
            <w:noWrap w:val="0"/>
            <w:vAlign w:val="top"/>
          </w:tcPr>
          <w:p w14:paraId="03E58E48">
            <w:pPr>
              <w:pStyle w:val="56"/>
              <w:keepNext w:val="0"/>
              <w:keepLines w:val="0"/>
              <w:pageBreakBefore w:val="0"/>
              <w:widowControl w:val="0"/>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2.11</w:t>
            </w:r>
            <w:r>
              <w:rPr>
                <w:rFonts w:hint="default" w:ascii="Times New Roman" w:hAnsi="Times New Roman" w:cs="Times New Roman"/>
                <w:highlight w:val="none"/>
                <w:lang w:eastAsia="zh-CN"/>
              </w:rPr>
              <w:t>现有项目工程回顾</w:t>
            </w:r>
          </w:p>
          <w:p w14:paraId="364122E7">
            <w:pPr>
              <w:pStyle w:val="23"/>
              <w:widowControl/>
              <w:shd w:val="clear" w:color="auto" w:fill="auto"/>
              <w:spacing w:before="0" w:beforeAutospacing="0" w:after="0" w:afterAutospacing="0" w:line="360" w:lineRule="auto"/>
              <w:ind w:firstLine="480" w:firstLineChars="200"/>
              <w:jc w:val="both"/>
              <w:rPr>
                <w:rFonts w:hint="default" w:ascii="Times New Roman" w:hAnsi="Times New Roman" w:cs="Times New Roman"/>
                <w:highlight w:val="none"/>
                <w:lang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eastAsia="zh-CN"/>
              </w:rPr>
              <w:t>）现有项目环保手续情况</w:t>
            </w:r>
          </w:p>
          <w:p w14:paraId="680E72DD">
            <w:pPr>
              <w:pStyle w:val="23"/>
              <w:widowControl/>
              <w:shd w:val="clear" w:color="auto" w:fill="auto"/>
              <w:spacing w:before="0" w:beforeAutospacing="0" w:after="0" w:afterAutospacing="0"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bCs w:val="0"/>
                <w:color w:val="000000"/>
                <w:kern w:val="0"/>
                <w:sz w:val="24"/>
                <w:szCs w:val="24"/>
                <w:highlight w:val="none"/>
                <w:lang w:eastAsia="zh-CN"/>
              </w:rPr>
              <w:t>泉</w:t>
            </w:r>
            <w:r>
              <w:rPr>
                <w:rFonts w:hint="default" w:ascii="Times New Roman" w:hAnsi="Times New Roman" w:eastAsia="宋体" w:cs="Times New Roman"/>
                <w:bCs w:val="0"/>
                <w:color w:val="000000"/>
                <w:kern w:val="0"/>
                <w:sz w:val="24"/>
                <w:szCs w:val="24"/>
                <w:highlight w:val="none"/>
              </w:rPr>
              <w:t>州</w:t>
            </w:r>
            <w:r>
              <w:rPr>
                <w:rFonts w:hint="default" w:ascii="Times New Roman" w:hAnsi="Times New Roman" w:eastAsia="宋体" w:cs="Times New Roman"/>
                <w:bCs w:val="0"/>
                <w:color w:val="000000"/>
                <w:kern w:val="0"/>
                <w:sz w:val="24"/>
                <w:szCs w:val="24"/>
                <w:highlight w:val="none"/>
                <w:lang w:eastAsia="zh-CN"/>
              </w:rPr>
              <w:t>市隆泰服装印花</w:t>
            </w:r>
            <w:r>
              <w:rPr>
                <w:rFonts w:hint="default" w:ascii="Times New Roman" w:hAnsi="Times New Roman" w:eastAsia="宋体" w:cs="Times New Roman"/>
                <w:bCs w:val="0"/>
                <w:color w:val="000000"/>
                <w:kern w:val="0"/>
                <w:sz w:val="24"/>
                <w:szCs w:val="24"/>
                <w:highlight w:val="none"/>
              </w:rPr>
              <w:t>有限公司</w:t>
            </w:r>
            <w:r>
              <w:rPr>
                <w:rFonts w:hint="default" w:ascii="Times New Roman" w:hAnsi="Times New Roman" w:eastAsia="宋体" w:cs="Times New Roman"/>
                <w:color w:val="000000"/>
                <w:spacing w:val="2"/>
                <w:sz w:val="24"/>
                <w:szCs w:val="24"/>
                <w:highlight w:val="none"/>
                <w:vertAlign w:val="baseline"/>
                <w:lang w:val="en-US" w:eastAsia="zh-CN"/>
              </w:rPr>
              <w:t>于2010年11月委托石狮市阳光环保技术综合服务有限公司编制了《</w:t>
            </w:r>
            <w:r>
              <w:rPr>
                <w:rFonts w:hint="default" w:ascii="Times New Roman" w:hAnsi="Times New Roman" w:eastAsia="宋体" w:cs="Times New Roman"/>
                <w:bCs w:val="0"/>
                <w:color w:val="000000"/>
                <w:kern w:val="0"/>
                <w:sz w:val="24"/>
                <w:szCs w:val="24"/>
                <w:highlight w:val="none"/>
                <w:lang w:eastAsia="zh-CN"/>
              </w:rPr>
              <w:t>泉州市隆泰服装印花有限公司迁</w:t>
            </w:r>
            <w:r>
              <w:rPr>
                <w:rFonts w:hint="eastAsia" w:ascii="Times New Roman" w:hAnsi="Times New Roman" w:cs="Times New Roman"/>
                <w:bCs w:val="0"/>
                <w:color w:val="000000"/>
                <w:kern w:val="0"/>
                <w:sz w:val="24"/>
                <w:szCs w:val="24"/>
                <w:highlight w:val="none"/>
                <w:lang w:eastAsia="zh-CN"/>
              </w:rPr>
              <w:t>扩建</w:t>
            </w:r>
            <w:r>
              <w:rPr>
                <w:rFonts w:hint="default" w:ascii="Times New Roman" w:hAnsi="Times New Roman" w:eastAsia="宋体" w:cs="Times New Roman"/>
                <w:bCs w:val="0"/>
                <w:color w:val="000000"/>
                <w:kern w:val="0"/>
                <w:sz w:val="24"/>
                <w:szCs w:val="24"/>
                <w:highlight w:val="none"/>
                <w:lang w:eastAsia="zh-CN"/>
              </w:rPr>
              <w:t>项目</w:t>
            </w:r>
            <w:r>
              <w:rPr>
                <w:rFonts w:hint="default" w:ascii="Times New Roman" w:hAnsi="Times New Roman" w:eastAsia="宋体" w:cs="Times New Roman"/>
                <w:bCs w:val="0"/>
                <w:color w:val="000000"/>
                <w:kern w:val="0"/>
                <w:sz w:val="24"/>
                <w:szCs w:val="24"/>
                <w:highlight w:val="none"/>
                <w:lang w:val="en-US" w:eastAsia="zh-CN"/>
              </w:rPr>
              <w:t>》，于2011年1月10日通过了原泉州市鲤城区环境保护局建设项目环评审批（</w:t>
            </w:r>
            <w:r>
              <w:rPr>
                <w:rFonts w:hint="default" w:ascii="Times New Roman" w:hAnsi="Times New Roman" w:eastAsia="宋体" w:cs="Times New Roman"/>
                <w:color w:val="000000"/>
                <w:spacing w:val="0"/>
                <w:sz w:val="24"/>
                <w:szCs w:val="24"/>
                <w:highlight w:val="none"/>
                <w:lang w:eastAsia="zh-CN"/>
              </w:rPr>
              <w:t>泉鲤环审</w:t>
            </w:r>
            <w:r>
              <w:rPr>
                <w:rFonts w:hint="default" w:ascii="Times New Roman" w:hAnsi="Times New Roman" w:eastAsia="宋体" w:cs="Times New Roman"/>
                <w:color w:val="000000"/>
                <w:spacing w:val="0"/>
                <w:sz w:val="24"/>
                <w:szCs w:val="24"/>
                <w:highlight w:val="none"/>
                <w:lang w:val="en-US" w:eastAsia="zh-CN"/>
              </w:rPr>
              <w:t>2011-017号）</w:t>
            </w:r>
            <w:r>
              <w:rPr>
                <w:rFonts w:hint="default" w:ascii="Times New Roman" w:hAnsi="Times New Roman" w:eastAsia="宋体" w:cs="Times New Roman"/>
                <w:bCs w:val="0"/>
                <w:color w:val="000000"/>
                <w:kern w:val="0"/>
                <w:sz w:val="24"/>
                <w:szCs w:val="24"/>
                <w:highlight w:val="none"/>
                <w:lang w:val="en-US" w:eastAsia="zh-CN"/>
              </w:rPr>
              <w:t>；2011年3月22日</w:t>
            </w:r>
            <w:r>
              <w:rPr>
                <w:rFonts w:hint="default" w:ascii="Times New Roman" w:hAnsi="Times New Roman" w:eastAsia="宋体" w:cs="Times New Roman"/>
                <w:bCs w:val="0"/>
                <w:color w:val="000000"/>
                <w:kern w:val="0"/>
                <w:sz w:val="24"/>
                <w:szCs w:val="24"/>
                <w:highlight w:val="none"/>
              </w:rPr>
              <w:t>泉州</w:t>
            </w:r>
            <w:r>
              <w:rPr>
                <w:rFonts w:hint="eastAsia" w:ascii="Times New Roman" w:hAnsi="Times New Roman" w:eastAsia="宋体" w:cs="Times New Roman"/>
                <w:bCs w:val="0"/>
                <w:color w:val="000000"/>
                <w:kern w:val="0"/>
                <w:sz w:val="24"/>
                <w:szCs w:val="24"/>
                <w:highlight w:val="none"/>
                <w:lang w:eastAsia="zh-CN"/>
              </w:rPr>
              <w:t>市</w:t>
            </w:r>
            <w:r>
              <w:rPr>
                <w:rFonts w:hint="eastAsia" w:ascii="Times New Roman" w:hAnsi="Times New Roman" w:cs="Times New Roman"/>
                <w:bCs w:val="0"/>
                <w:color w:val="000000"/>
                <w:kern w:val="0"/>
                <w:sz w:val="24"/>
                <w:szCs w:val="24"/>
                <w:highlight w:val="none"/>
                <w:lang w:eastAsia="zh-CN"/>
              </w:rPr>
              <w:t>鲤城区环境监测站</w:t>
            </w:r>
            <w:r>
              <w:rPr>
                <w:rFonts w:hint="default" w:ascii="Times New Roman" w:hAnsi="Times New Roman" w:eastAsia="宋体" w:cs="Times New Roman"/>
                <w:bCs w:val="0"/>
                <w:color w:val="auto"/>
                <w:kern w:val="0"/>
                <w:sz w:val="24"/>
                <w:szCs w:val="24"/>
                <w:highlight w:val="none"/>
                <w:lang w:val="en-US" w:eastAsia="zh-CN"/>
              </w:rPr>
              <w:t>组织</w:t>
            </w:r>
            <w:r>
              <w:rPr>
                <w:rFonts w:hint="default" w:ascii="Times New Roman" w:hAnsi="Times New Roman" w:eastAsia="宋体" w:cs="Times New Roman"/>
                <w:bCs w:val="0"/>
                <w:color w:val="000000"/>
                <w:kern w:val="0"/>
                <w:sz w:val="24"/>
                <w:szCs w:val="24"/>
                <w:highlight w:val="none"/>
                <w:lang w:val="en-US" w:eastAsia="zh-CN"/>
              </w:rPr>
              <w:t>建设项目竣工环境保护验收监测（泉鲤环站验〔2011〕27号），2011年6月14日通过原泉州市鲤城区环境保护局建设项目竣工环保验收（泉鲤环验2011-056号）；2020年3月23日进行排污许可登记，登记编号91350502671943122M001Z。</w:t>
            </w:r>
          </w:p>
          <w:p w14:paraId="508B5A35">
            <w:pPr>
              <w:pStyle w:val="23"/>
              <w:widowControl/>
              <w:shd w:val="clear" w:color="auto" w:fill="auto"/>
              <w:spacing w:before="0" w:beforeAutospacing="0" w:after="0" w:afterAutospacing="0" w:line="360" w:lineRule="auto"/>
              <w:ind w:firstLine="480" w:firstLineChars="200"/>
              <w:jc w:val="both"/>
              <w:rPr>
                <w:rFonts w:hint="default" w:ascii="Times New Roman" w:hAnsi="Times New Roman" w:cs="Times New Roman"/>
                <w:szCs w:val="24"/>
                <w:highlight w:val="none"/>
                <w:lang w:eastAsia="zh-CN"/>
              </w:rPr>
            </w:pPr>
            <w:r>
              <w:rPr>
                <w:rFonts w:hint="default" w:ascii="Times New Roman" w:hAnsi="Times New Roman" w:cs="Times New Roman"/>
                <w:szCs w:val="24"/>
                <w:highlight w:val="none"/>
                <w:lang w:eastAsia="zh-CN"/>
              </w:rPr>
              <w:t>（</w:t>
            </w:r>
            <w:r>
              <w:rPr>
                <w:rFonts w:hint="default" w:ascii="Times New Roman" w:hAnsi="Times New Roman" w:cs="Times New Roman"/>
                <w:szCs w:val="24"/>
                <w:highlight w:val="none"/>
                <w:lang w:val="en-US" w:eastAsia="zh-CN"/>
              </w:rPr>
              <w:t>2</w:t>
            </w:r>
            <w:r>
              <w:rPr>
                <w:rFonts w:hint="default" w:ascii="Times New Roman" w:hAnsi="Times New Roman" w:cs="Times New Roman"/>
                <w:szCs w:val="24"/>
                <w:highlight w:val="none"/>
                <w:lang w:eastAsia="zh-CN"/>
              </w:rPr>
              <w:t>）项目生产设备一览表</w:t>
            </w:r>
          </w:p>
          <w:p w14:paraId="28D5C91A">
            <w:pPr>
              <w:pStyle w:val="23"/>
              <w:keepNext w:val="0"/>
              <w:keepLines w:val="0"/>
              <w:pageBreakBefore w:val="0"/>
              <w:widowControl/>
              <w:kinsoku/>
              <w:wordWrap w:val="0"/>
              <w:overflowPunct/>
              <w:topLinePunct w:val="0"/>
              <w:autoSpaceDE/>
              <w:autoSpaceDN/>
              <w:bidi w:val="0"/>
              <w:adjustRightInd/>
              <w:snapToGrid/>
              <w:spacing w:before="0" w:beforeLines="0" w:beforeAutospacing="0" w:after="0" w:afterAutospacing="0" w:line="240" w:lineRule="auto"/>
              <w:jc w:val="center"/>
              <w:textAlignment w:val="auto"/>
              <w:rPr>
                <w:rFonts w:hint="default" w:ascii="Times New Roman" w:hAnsi="Times New Roman" w:eastAsia="宋体" w:cs="Times New Roman"/>
                <w:b/>
                <w:bCs/>
                <w:color w:val="000000"/>
                <w:spacing w:val="0"/>
                <w:highlight w:val="none"/>
                <w:lang w:val="en-US" w:eastAsia="zh-CN"/>
              </w:rPr>
            </w:pPr>
            <w:r>
              <w:rPr>
                <w:rFonts w:hint="default" w:ascii="Times New Roman" w:hAnsi="Times New Roman" w:eastAsia="宋体" w:cs="Times New Roman"/>
                <w:b/>
                <w:bCs/>
                <w:color w:val="000000"/>
                <w:spacing w:val="0"/>
                <w:highlight w:val="none"/>
                <w:lang w:eastAsia="zh-CN"/>
              </w:rPr>
              <w:t>表</w:t>
            </w:r>
            <w:r>
              <w:rPr>
                <w:rFonts w:hint="eastAsia" w:ascii="Times New Roman" w:hAnsi="Times New Roman" w:eastAsia="宋体" w:cs="Times New Roman"/>
                <w:b/>
                <w:bCs/>
                <w:color w:val="000000"/>
                <w:spacing w:val="0"/>
                <w:highlight w:val="none"/>
                <w:lang w:val="en-US" w:eastAsia="zh-CN"/>
              </w:rPr>
              <w:t>2</w:t>
            </w:r>
            <w:r>
              <w:rPr>
                <w:rFonts w:hint="default" w:ascii="Times New Roman" w:hAnsi="Times New Roman" w:eastAsia="宋体" w:cs="Times New Roman"/>
                <w:b/>
                <w:bCs/>
                <w:color w:val="000000"/>
                <w:spacing w:val="0"/>
                <w:highlight w:val="none"/>
                <w:lang w:val="en-US" w:eastAsia="zh-CN"/>
              </w:rPr>
              <w:t>-</w:t>
            </w:r>
            <w:r>
              <w:rPr>
                <w:rFonts w:hint="eastAsia" w:ascii="Times New Roman" w:hAnsi="Times New Roman" w:eastAsia="宋体" w:cs="Times New Roman"/>
                <w:b/>
                <w:bCs/>
                <w:color w:val="000000"/>
                <w:spacing w:val="0"/>
                <w:highlight w:val="none"/>
                <w:lang w:val="en-US" w:eastAsia="zh-CN"/>
              </w:rPr>
              <w:t>6</w:t>
            </w:r>
            <w:r>
              <w:rPr>
                <w:rFonts w:hint="default" w:ascii="Times New Roman" w:hAnsi="Times New Roman" w:eastAsia="宋体" w:cs="Times New Roman"/>
                <w:b/>
                <w:bCs/>
                <w:color w:val="000000"/>
                <w:spacing w:val="0"/>
                <w:highlight w:val="none"/>
                <w:lang w:val="en-US" w:eastAsia="zh-CN"/>
              </w:rPr>
              <w:t xml:space="preserve"> 项目主要设备一览表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15" w:type="dxa"/>
                <w:left w:w="15" w:type="dxa"/>
                <w:bottom w:w="15" w:type="dxa"/>
                <w:right w:w="15" w:type="dxa"/>
              </w:tblCellMar>
            </w:tblPr>
            <w:tblGrid>
              <w:gridCol w:w="1052"/>
              <w:gridCol w:w="2008"/>
              <w:gridCol w:w="1732"/>
              <w:gridCol w:w="1845"/>
              <w:gridCol w:w="1305"/>
            </w:tblGrid>
            <w:tr w14:paraId="7F9DA65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03" w:hRule="atLeast"/>
                <w:jc w:val="center"/>
              </w:trPr>
              <w:tc>
                <w:tcPr>
                  <w:tcW w:w="662" w:type="pct"/>
                  <w:noWrap w:val="0"/>
                  <w:tcMar>
                    <w:top w:w="0" w:type="dxa"/>
                    <w:left w:w="0" w:type="dxa"/>
                    <w:bottom w:w="0" w:type="dxa"/>
                    <w:right w:w="0" w:type="dxa"/>
                  </w:tcMar>
                  <w:vAlign w:val="center"/>
                </w:tcPr>
                <w:p w14:paraId="4309336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0"/>
                      <w:sz w:val="21"/>
                      <w:szCs w:val="21"/>
                      <w:highlight w:val="none"/>
                    </w:rPr>
                  </w:pPr>
                  <w:r>
                    <w:rPr>
                      <w:rFonts w:hint="default" w:ascii="Times New Roman" w:hAnsi="Times New Roman" w:eastAsia="宋体" w:cs="Times New Roman"/>
                      <w:b w:val="0"/>
                      <w:bCs w:val="0"/>
                      <w:color w:val="000000"/>
                      <w:spacing w:val="0"/>
                      <w:sz w:val="21"/>
                      <w:szCs w:val="21"/>
                      <w:highlight w:val="none"/>
                    </w:rPr>
                    <w:t>序号</w:t>
                  </w:r>
                </w:p>
              </w:tc>
              <w:tc>
                <w:tcPr>
                  <w:tcW w:w="1264" w:type="pct"/>
                  <w:noWrap w:val="0"/>
                  <w:tcMar>
                    <w:top w:w="0" w:type="dxa"/>
                    <w:left w:w="0" w:type="dxa"/>
                    <w:bottom w:w="0" w:type="dxa"/>
                    <w:right w:w="0" w:type="dxa"/>
                  </w:tcMar>
                  <w:vAlign w:val="center"/>
                </w:tcPr>
                <w:p w14:paraId="480D9C9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000000"/>
                      <w:spacing w:val="0"/>
                      <w:sz w:val="21"/>
                      <w:szCs w:val="21"/>
                      <w:highlight w:val="none"/>
                    </w:rPr>
                  </w:pPr>
                  <w:r>
                    <w:rPr>
                      <w:rFonts w:hint="default" w:ascii="Times New Roman" w:hAnsi="Times New Roman" w:eastAsia="宋体" w:cs="Times New Roman"/>
                      <w:b w:val="0"/>
                      <w:bCs w:val="0"/>
                      <w:color w:val="000000"/>
                      <w:spacing w:val="0"/>
                      <w:sz w:val="21"/>
                      <w:szCs w:val="21"/>
                      <w:highlight w:val="none"/>
                    </w:rPr>
                    <w:t>设备名称</w:t>
                  </w:r>
                </w:p>
              </w:tc>
              <w:tc>
                <w:tcPr>
                  <w:tcW w:w="1090" w:type="pct"/>
                  <w:noWrap w:val="0"/>
                  <w:tcMar>
                    <w:top w:w="0" w:type="dxa"/>
                    <w:left w:w="0" w:type="dxa"/>
                    <w:bottom w:w="0" w:type="dxa"/>
                    <w:right w:w="0" w:type="dxa"/>
                  </w:tcMar>
                  <w:vAlign w:val="center"/>
                </w:tcPr>
                <w:p w14:paraId="78F589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000000"/>
                      <w:spacing w:val="0"/>
                      <w:sz w:val="21"/>
                      <w:szCs w:val="21"/>
                      <w:highlight w:val="none"/>
                    </w:rPr>
                  </w:pPr>
                  <w:r>
                    <w:rPr>
                      <w:rFonts w:hint="default" w:ascii="Times New Roman" w:hAnsi="Times New Roman" w:eastAsia="宋体" w:cs="Times New Roman"/>
                      <w:b w:val="0"/>
                      <w:bCs w:val="0"/>
                      <w:color w:val="000000"/>
                      <w:spacing w:val="0"/>
                      <w:sz w:val="21"/>
                      <w:szCs w:val="21"/>
                      <w:highlight w:val="none"/>
                    </w:rPr>
                    <w:t>环评数量</w:t>
                  </w:r>
                  <w:r>
                    <w:rPr>
                      <w:rStyle w:val="31"/>
                      <w:rFonts w:hint="default" w:ascii="Times New Roman" w:hAnsi="Times New Roman" w:cs="Times New Roman"/>
                      <w:b w:val="0"/>
                      <w:bCs w:val="0"/>
                      <w:color w:val="000000"/>
                      <w:spacing w:val="0"/>
                      <w:sz w:val="21"/>
                      <w:szCs w:val="21"/>
                      <w:highlight w:val="none"/>
                      <w:vertAlign w:val="baseline"/>
                      <w:lang w:eastAsia="zh-CN"/>
                    </w:rPr>
                    <w:t>（台）</w:t>
                  </w:r>
                </w:p>
              </w:tc>
              <w:tc>
                <w:tcPr>
                  <w:tcW w:w="1161" w:type="pct"/>
                  <w:noWrap w:val="0"/>
                  <w:tcMar>
                    <w:top w:w="0" w:type="dxa"/>
                    <w:left w:w="0" w:type="dxa"/>
                    <w:bottom w:w="0" w:type="dxa"/>
                    <w:right w:w="0" w:type="dxa"/>
                  </w:tcMar>
                  <w:vAlign w:val="center"/>
                </w:tcPr>
                <w:p w14:paraId="03F7E5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0"/>
                      <w:sz w:val="21"/>
                      <w:szCs w:val="21"/>
                      <w:highlight w:val="none"/>
                    </w:rPr>
                  </w:pPr>
                  <w:r>
                    <w:rPr>
                      <w:rFonts w:hint="default" w:ascii="Times New Roman" w:hAnsi="Times New Roman" w:eastAsia="宋体" w:cs="Times New Roman"/>
                      <w:b w:val="0"/>
                      <w:bCs w:val="0"/>
                      <w:color w:val="000000"/>
                      <w:spacing w:val="0"/>
                      <w:sz w:val="21"/>
                      <w:szCs w:val="21"/>
                      <w:highlight w:val="none"/>
                    </w:rPr>
                    <w:t>实际数量</w:t>
                  </w:r>
                  <w:r>
                    <w:rPr>
                      <w:rStyle w:val="31"/>
                      <w:rFonts w:hint="default" w:ascii="Times New Roman" w:hAnsi="Times New Roman" w:cs="Times New Roman"/>
                      <w:b w:val="0"/>
                      <w:bCs w:val="0"/>
                      <w:color w:val="000000"/>
                      <w:spacing w:val="0"/>
                      <w:sz w:val="21"/>
                      <w:szCs w:val="21"/>
                      <w:highlight w:val="none"/>
                      <w:vertAlign w:val="baseline"/>
                      <w:lang w:eastAsia="zh-CN"/>
                    </w:rPr>
                    <w:t>（台）</w:t>
                  </w:r>
                </w:p>
              </w:tc>
              <w:tc>
                <w:tcPr>
                  <w:tcW w:w="821" w:type="pct"/>
                  <w:noWrap w:val="0"/>
                  <w:tcMar>
                    <w:top w:w="0" w:type="dxa"/>
                    <w:left w:w="0" w:type="dxa"/>
                    <w:bottom w:w="0" w:type="dxa"/>
                    <w:right w:w="0" w:type="dxa"/>
                  </w:tcMar>
                  <w:vAlign w:val="center"/>
                </w:tcPr>
                <w:p w14:paraId="754D527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0"/>
                      <w:sz w:val="21"/>
                      <w:szCs w:val="21"/>
                      <w:highlight w:val="none"/>
                    </w:rPr>
                  </w:pPr>
                  <w:r>
                    <w:rPr>
                      <w:rFonts w:hint="default" w:ascii="Times New Roman" w:hAnsi="Times New Roman" w:eastAsia="宋体" w:cs="Times New Roman"/>
                      <w:b w:val="0"/>
                      <w:bCs w:val="0"/>
                      <w:color w:val="000000"/>
                      <w:spacing w:val="0"/>
                      <w:sz w:val="21"/>
                      <w:szCs w:val="21"/>
                      <w:highlight w:val="none"/>
                      <w:lang w:eastAsia="zh-CN"/>
                    </w:rPr>
                    <w:t>增减量</w:t>
                  </w:r>
                  <w:r>
                    <w:rPr>
                      <w:rStyle w:val="31"/>
                      <w:rFonts w:hint="default" w:ascii="Times New Roman" w:hAnsi="Times New Roman" w:cs="Times New Roman"/>
                      <w:b w:val="0"/>
                      <w:bCs w:val="0"/>
                      <w:color w:val="000000"/>
                      <w:spacing w:val="0"/>
                      <w:sz w:val="21"/>
                      <w:szCs w:val="21"/>
                      <w:highlight w:val="none"/>
                      <w:vertAlign w:val="baseline"/>
                      <w:lang w:eastAsia="zh-CN"/>
                    </w:rPr>
                    <w:t>（台）</w:t>
                  </w:r>
                </w:p>
              </w:tc>
            </w:tr>
            <w:tr w14:paraId="42D658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03" w:hRule="atLeast"/>
                <w:jc w:val="center"/>
              </w:trPr>
              <w:tc>
                <w:tcPr>
                  <w:tcW w:w="662" w:type="pct"/>
                  <w:noWrap w:val="0"/>
                  <w:tcMar>
                    <w:top w:w="0" w:type="dxa"/>
                    <w:left w:w="0" w:type="dxa"/>
                    <w:bottom w:w="0" w:type="dxa"/>
                    <w:right w:w="0" w:type="dxa"/>
                  </w:tcMar>
                  <w:vAlign w:val="center"/>
                </w:tcPr>
                <w:p w14:paraId="716F4AE1">
                  <w:pPr>
                    <w:jc w:val="center"/>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rPr>
                    <w:t>1</w:t>
                  </w:r>
                </w:p>
              </w:tc>
              <w:tc>
                <w:tcPr>
                  <w:tcW w:w="1264" w:type="pct"/>
                  <w:noWrap w:val="0"/>
                  <w:tcMar>
                    <w:top w:w="0" w:type="dxa"/>
                    <w:left w:w="0" w:type="dxa"/>
                    <w:bottom w:w="0" w:type="dxa"/>
                    <w:right w:w="0" w:type="dxa"/>
                  </w:tcMar>
                  <w:vAlign w:val="center"/>
                </w:tcPr>
                <w:p w14:paraId="14E5CCD5">
                  <w:pPr>
                    <w:widowControl w:val="0"/>
                    <w:spacing w:line="240" w:lineRule="auto"/>
                    <w:jc w:val="center"/>
                    <w:textAlignment w:val="center"/>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bCs/>
                      <w:color w:val="000000"/>
                      <w:kern w:val="0"/>
                      <w:sz w:val="21"/>
                      <w:szCs w:val="21"/>
                      <w:highlight w:val="none"/>
                      <w:lang w:eastAsia="zh-CN"/>
                    </w:rPr>
                    <w:t>印花网版</w:t>
                  </w:r>
                </w:p>
              </w:tc>
              <w:tc>
                <w:tcPr>
                  <w:tcW w:w="1090" w:type="pct"/>
                  <w:noWrap w:val="0"/>
                  <w:tcMar>
                    <w:top w:w="0" w:type="dxa"/>
                    <w:left w:w="0" w:type="dxa"/>
                    <w:bottom w:w="0" w:type="dxa"/>
                    <w:right w:w="0" w:type="dxa"/>
                  </w:tcMar>
                  <w:vAlign w:val="center"/>
                </w:tcPr>
                <w:p w14:paraId="07217447">
                  <w:pPr>
                    <w:widowControl w:val="0"/>
                    <w:spacing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bCs/>
                      <w:color w:val="000000"/>
                      <w:kern w:val="0"/>
                      <w:sz w:val="21"/>
                      <w:szCs w:val="21"/>
                      <w:highlight w:val="none"/>
                      <w:lang w:val="en-US" w:eastAsia="zh-CN"/>
                    </w:rPr>
                    <w:t>300个</w:t>
                  </w:r>
                </w:p>
              </w:tc>
              <w:tc>
                <w:tcPr>
                  <w:tcW w:w="1161" w:type="pct"/>
                  <w:noWrap w:val="0"/>
                  <w:tcMar>
                    <w:top w:w="0" w:type="dxa"/>
                    <w:left w:w="0" w:type="dxa"/>
                    <w:bottom w:w="0" w:type="dxa"/>
                    <w:right w:w="0" w:type="dxa"/>
                  </w:tcMar>
                  <w:vAlign w:val="center"/>
                </w:tcPr>
                <w:p w14:paraId="7E5BD621">
                  <w:pPr>
                    <w:widowControl w:val="0"/>
                    <w:spacing w:line="240" w:lineRule="auto"/>
                    <w:jc w:val="center"/>
                    <w:textAlignment w:val="center"/>
                    <w:rPr>
                      <w:rFonts w:hint="default" w:eastAsia="宋体"/>
                      <w:color w:val="7030A0"/>
                      <w:kern w:val="1"/>
                      <w:sz w:val="21"/>
                      <w:szCs w:val="21"/>
                      <w:highlight w:val="none"/>
                      <w:lang w:val="en-US" w:eastAsia="zh-CN" w:bidi="ar-SA"/>
                    </w:rPr>
                  </w:pPr>
                  <w:r>
                    <w:rPr>
                      <w:rFonts w:hint="eastAsia" w:cs="Times New Roman"/>
                      <w:bCs/>
                      <w:color w:val="000000"/>
                      <w:kern w:val="0"/>
                      <w:sz w:val="21"/>
                      <w:szCs w:val="21"/>
                      <w:highlight w:val="none"/>
                      <w:lang w:val="en-US" w:eastAsia="zh-CN"/>
                    </w:rPr>
                    <w:t>300个</w:t>
                  </w:r>
                </w:p>
              </w:tc>
              <w:tc>
                <w:tcPr>
                  <w:tcW w:w="821" w:type="pct"/>
                  <w:noWrap w:val="0"/>
                  <w:tcMar>
                    <w:top w:w="0" w:type="dxa"/>
                    <w:left w:w="0" w:type="dxa"/>
                    <w:bottom w:w="0" w:type="dxa"/>
                    <w:right w:w="0" w:type="dxa"/>
                  </w:tcMar>
                  <w:vAlign w:val="center"/>
                </w:tcPr>
                <w:p w14:paraId="74216539">
                  <w:pPr>
                    <w:adjustRightInd w:val="0"/>
                    <w:snapToGrid w:val="0"/>
                    <w:spacing w:line="240" w:lineRule="auto"/>
                    <w:ind w:left="1" w:firstLine="0" w:firstLineChars="0"/>
                    <w:jc w:val="center"/>
                    <w:rPr>
                      <w:rFonts w:hint="default" w:ascii="Times New Roman" w:hAnsi="Times New Roman" w:eastAsia="宋体" w:cs="Times New Roman"/>
                      <w:color w:val="000000"/>
                      <w:spacing w:val="0"/>
                      <w:sz w:val="21"/>
                      <w:szCs w:val="21"/>
                      <w:highlight w:val="none"/>
                      <w:lang w:val="en-US" w:eastAsia="zh-CN"/>
                    </w:rPr>
                  </w:pPr>
                  <w:r>
                    <w:rPr>
                      <w:rFonts w:hint="eastAsia" w:cs="Times New Roman"/>
                      <w:color w:val="000000"/>
                      <w:spacing w:val="0"/>
                      <w:sz w:val="21"/>
                      <w:szCs w:val="21"/>
                      <w:highlight w:val="none"/>
                      <w:lang w:val="en-US" w:eastAsia="zh-CN"/>
                    </w:rPr>
                    <w:t>0</w:t>
                  </w:r>
                </w:p>
              </w:tc>
            </w:tr>
            <w:tr w14:paraId="471CF53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03" w:hRule="atLeast"/>
                <w:jc w:val="center"/>
              </w:trPr>
              <w:tc>
                <w:tcPr>
                  <w:tcW w:w="662" w:type="pct"/>
                  <w:noWrap w:val="0"/>
                  <w:tcMar>
                    <w:top w:w="0" w:type="dxa"/>
                    <w:left w:w="0" w:type="dxa"/>
                    <w:bottom w:w="0" w:type="dxa"/>
                    <w:right w:w="0" w:type="dxa"/>
                  </w:tcMar>
                  <w:vAlign w:val="center"/>
                </w:tcPr>
                <w:p w14:paraId="0ED8D906">
                  <w:pPr>
                    <w:jc w:val="center"/>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rPr>
                    <w:t>2</w:t>
                  </w:r>
                </w:p>
              </w:tc>
              <w:tc>
                <w:tcPr>
                  <w:tcW w:w="1264" w:type="pct"/>
                  <w:noWrap w:val="0"/>
                  <w:tcMar>
                    <w:top w:w="0" w:type="dxa"/>
                    <w:left w:w="0" w:type="dxa"/>
                    <w:bottom w:w="0" w:type="dxa"/>
                    <w:right w:w="0" w:type="dxa"/>
                  </w:tcMar>
                  <w:vAlign w:val="center"/>
                </w:tcPr>
                <w:p w14:paraId="6E766C10">
                  <w:pPr>
                    <w:widowControl w:val="0"/>
                    <w:spacing w:line="240" w:lineRule="auto"/>
                    <w:jc w:val="center"/>
                    <w:textAlignment w:val="center"/>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bCs/>
                      <w:color w:val="000000"/>
                      <w:kern w:val="0"/>
                      <w:sz w:val="21"/>
                      <w:szCs w:val="21"/>
                      <w:highlight w:val="none"/>
                      <w:lang w:eastAsia="zh-CN"/>
                    </w:rPr>
                    <w:t>印花台面</w:t>
                  </w:r>
                </w:p>
              </w:tc>
              <w:tc>
                <w:tcPr>
                  <w:tcW w:w="1090" w:type="pct"/>
                  <w:noWrap w:val="0"/>
                  <w:tcMar>
                    <w:top w:w="0" w:type="dxa"/>
                    <w:left w:w="0" w:type="dxa"/>
                    <w:bottom w:w="0" w:type="dxa"/>
                    <w:right w:w="0" w:type="dxa"/>
                  </w:tcMar>
                  <w:vAlign w:val="center"/>
                </w:tcPr>
                <w:p w14:paraId="4AA1551C">
                  <w:pPr>
                    <w:widowControl w:val="0"/>
                    <w:spacing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bCs/>
                      <w:color w:val="000000"/>
                      <w:kern w:val="0"/>
                      <w:sz w:val="21"/>
                      <w:szCs w:val="21"/>
                      <w:highlight w:val="none"/>
                      <w:lang w:val="en-US" w:eastAsia="zh-CN"/>
                    </w:rPr>
                    <w:t>500米</w:t>
                  </w:r>
                </w:p>
              </w:tc>
              <w:tc>
                <w:tcPr>
                  <w:tcW w:w="1161" w:type="pct"/>
                  <w:noWrap w:val="0"/>
                  <w:tcMar>
                    <w:top w:w="0" w:type="dxa"/>
                    <w:left w:w="0" w:type="dxa"/>
                    <w:bottom w:w="0" w:type="dxa"/>
                    <w:right w:w="0" w:type="dxa"/>
                  </w:tcMar>
                  <w:vAlign w:val="center"/>
                </w:tcPr>
                <w:p w14:paraId="639FCC12">
                  <w:pPr>
                    <w:widowControl w:val="0"/>
                    <w:spacing w:line="240" w:lineRule="auto"/>
                    <w:jc w:val="center"/>
                    <w:textAlignment w:val="center"/>
                    <w:rPr>
                      <w:rFonts w:hint="default" w:eastAsia="宋体"/>
                      <w:color w:val="7030A0"/>
                      <w:kern w:val="1"/>
                      <w:sz w:val="21"/>
                      <w:szCs w:val="21"/>
                      <w:highlight w:val="none"/>
                      <w:lang w:val="en-US" w:eastAsia="zh-CN" w:bidi="ar-SA"/>
                    </w:rPr>
                  </w:pPr>
                  <w:r>
                    <w:rPr>
                      <w:rFonts w:hint="eastAsia" w:cs="Times New Roman"/>
                      <w:bCs/>
                      <w:color w:val="000000"/>
                      <w:kern w:val="0"/>
                      <w:sz w:val="21"/>
                      <w:szCs w:val="21"/>
                      <w:highlight w:val="none"/>
                      <w:lang w:val="en-US" w:eastAsia="zh-CN"/>
                    </w:rPr>
                    <w:t>500米</w:t>
                  </w:r>
                </w:p>
              </w:tc>
              <w:tc>
                <w:tcPr>
                  <w:tcW w:w="821" w:type="pct"/>
                  <w:noWrap w:val="0"/>
                  <w:tcMar>
                    <w:top w:w="0" w:type="dxa"/>
                    <w:left w:w="0" w:type="dxa"/>
                    <w:bottom w:w="0" w:type="dxa"/>
                    <w:right w:w="0" w:type="dxa"/>
                  </w:tcMar>
                  <w:vAlign w:val="center"/>
                </w:tcPr>
                <w:p w14:paraId="2FD02345">
                  <w:pPr>
                    <w:adjustRightInd w:val="0"/>
                    <w:snapToGrid w:val="0"/>
                    <w:spacing w:line="240" w:lineRule="auto"/>
                    <w:ind w:left="1" w:firstLine="0" w:firstLineChars="0"/>
                    <w:jc w:val="center"/>
                    <w:rPr>
                      <w:rFonts w:hint="default" w:ascii="Times New Roman" w:hAnsi="Times New Roman" w:eastAsia="宋体" w:cs="Times New Roman"/>
                      <w:color w:val="000000"/>
                      <w:spacing w:val="0"/>
                      <w:sz w:val="21"/>
                      <w:szCs w:val="21"/>
                      <w:highlight w:val="none"/>
                      <w:lang w:val="en-US" w:eastAsia="zh-CN"/>
                    </w:rPr>
                  </w:pPr>
                  <w:r>
                    <w:rPr>
                      <w:rFonts w:hint="eastAsia" w:cs="Times New Roman"/>
                      <w:color w:val="000000"/>
                      <w:spacing w:val="0"/>
                      <w:sz w:val="21"/>
                      <w:szCs w:val="21"/>
                      <w:highlight w:val="none"/>
                      <w:lang w:val="en-US" w:eastAsia="zh-CN"/>
                    </w:rPr>
                    <w:t>0</w:t>
                  </w:r>
                </w:p>
              </w:tc>
            </w:tr>
            <w:tr w14:paraId="721020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03" w:hRule="atLeast"/>
                <w:jc w:val="center"/>
              </w:trPr>
              <w:tc>
                <w:tcPr>
                  <w:tcW w:w="662" w:type="pct"/>
                  <w:noWrap w:val="0"/>
                  <w:tcMar>
                    <w:top w:w="0" w:type="dxa"/>
                    <w:left w:w="0" w:type="dxa"/>
                    <w:bottom w:w="0" w:type="dxa"/>
                    <w:right w:w="0" w:type="dxa"/>
                  </w:tcMar>
                  <w:vAlign w:val="center"/>
                </w:tcPr>
                <w:p w14:paraId="51FFC31C">
                  <w:pPr>
                    <w:jc w:val="center"/>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rPr>
                    <w:t>3</w:t>
                  </w:r>
                </w:p>
              </w:tc>
              <w:tc>
                <w:tcPr>
                  <w:tcW w:w="1264" w:type="pct"/>
                  <w:noWrap w:val="0"/>
                  <w:tcMar>
                    <w:top w:w="0" w:type="dxa"/>
                    <w:left w:w="0" w:type="dxa"/>
                    <w:bottom w:w="0" w:type="dxa"/>
                    <w:right w:w="0" w:type="dxa"/>
                  </w:tcMar>
                  <w:vAlign w:val="center"/>
                </w:tcPr>
                <w:p w14:paraId="083DD471">
                  <w:pPr>
                    <w:widowControl w:val="0"/>
                    <w:spacing w:line="240" w:lineRule="auto"/>
                    <w:jc w:val="center"/>
                    <w:textAlignment w:val="center"/>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bCs/>
                      <w:color w:val="000000"/>
                      <w:kern w:val="0"/>
                      <w:sz w:val="21"/>
                      <w:szCs w:val="21"/>
                      <w:highlight w:val="none"/>
                      <w:lang w:eastAsia="zh-CN"/>
                    </w:rPr>
                    <w:t>打浆机</w:t>
                  </w:r>
                </w:p>
              </w:tc>
              <w:tc>
                <w:tcPr>
                  <w:tcW w:w="1090" w:type="pct"/>
                  <w:noWrap w:val="0"/>
                  <w:tcMar>
                    <w:top w:w="0" w:type="dxa"/>
                    <w:left w:w="0" w:type="dxa"/>
                    <w:bottom w:w="0" w:type="dxa"/>
                    <w:right w:w="0" w:type="dxa"/>
                  </w:tcMar>
                  <w:vAlign w:val="center"/>
                </w:tcPr>
                <w:p w14:paraId="0BC15098">
                  <w:pPr>
                    <w:widowControl w:val="0"/>
                    <w:spacing w:line="240" w:lineRule="auto"/>
                    <w:jc w:val="center"/>
                    <w:textAlignment w:val="center"/>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bCs/>
                      <w:color w:val="000000"/>
                      <w:kern w:val="0"/>
                      <w:sz w:val="21"/>
                      <w:szCs w:val="21"/>
                      <w:highlight w:val="none"/>
                      <w:lang w:val="en-US" w:eastAsia="zh-CN"/>
                    </w:rPr>
                    <w:t>2</w:t>
                  </w:r>
                </w:p>
              </w:tc>
              <w:tc>
                <w:tcPr>
                  <w:tcW w:w="1161" w:type="pct"/>
                  <w:noWrap w:val="0"/>
                  <w:tcMar>
                    <w:top w:w="0" w:type="dxa"/>
                    <w:left w:w="0" w:type="dxa"/>
                    <w:bottom w:w="0" w:type="dxa"/>
                    <w:right w:w="0" w:type="dxa"/>
                  </w:tcMar>
                  <w:vAlign w:val="center"/>
                </w:tcPr>
                <w:p w14:paraId="755F95D0">
                  <w:pPr>
                    <w:widowControl w:val="0"/>
                    <w:spacing w:line="240" w:lineRule="auto"/>
                    <w:jc w:val="center"/>
                    <w:textAlignment w:val="center"/>
                    <w:rPr>
                      <w:rFonts w:hint="eastAsia" w:eastAsia="宋体"/>
                      <w:color w:val="7030A0"/>
                      <w:kern w:val="1"/>
                      <w:sz w:val="21"/>
                      <w:szCs w:val="21"/>
                      <w:highlight w:val="none"/>
                      <w:lang w:val="en-US" w:eastAsia="zh-CN" w:bidi="ar-SA"/>
                    </w:rPr>
                  </w:pPr>
                  <w:r>
                    <w:rPr>
                      <w:rFonts w:hint="eastAsia" w:cs="Times New Roman"/>
                      <w:bCs/>
                      <w:color w:val="000000"/>
                      <w:kern w:val="0"/>
                      <w:sz w:val="21"/>
                      <w:szCs w:val="21"/>
                      <w:highlight w:val="none"/>
                      <w:lang w:val="en-US" w:eastAsia="zh-CN"/>
                    </w:rPr>
                    <w:t>2</w:t>
                  </w:r>
                </w:p>
              </w:tc>
              <w:tc>
                <w:tcPr>
                  <w:tcW w:w="821" w:type="pct"/>
                  <w:noWrap w:val="0"/>
                  <w:tcMar>
                    <w:top w:w="0" w:type="dxa"/>
                    <w:left w:w="0" w:type="dxa"/>
                    <w:bottom w:w="0" w:type="dxa"/>
                    <w:right w:w="0" w:type="dxa"/>
                  </w:tcMar>
                  <w:vAlign w:val="center"/>
                </w:tcPr>
                <w:p w14:paraId="68D4F252">
                  <w:pPr>
                    <w:adjustRightInd w:val="0"/>
                    <w:snapToGrid w:val="0"/>
                    <w:spacing w:line="240" w:lineRule="auto"/>
                    <w:ind w:left="1" w:firstLine="0" w:firstLineChars="0"/>
                    <w:jc w:val="center"/>
                    <w:rPr>
                      <w:rFonts w:hint="default" w:ascii="Times New Roman" w:hAnsi="Times New Roman" w:eastAsia="宋体" w:cs="Times New Roman"/>
                      <w:color w:val="000000"/>
                      <w:spacing w:val="0"/>
                      <w:sz w:val="21"/>
                      <w:szCs w:val="21"/>
                      <w:highlight w:val="none"/>
                      <w:lang w:val="en-US" w:eastAsia="zh-CN"/>
                    </w:rPr>
                  </w:pPr>
                  <w:r>
                    <w:rPr>
                      <w:rFonts w:hint="eastAsia" w:cs="Times New Roman"/>
                      <w:color w:val="000000"/>
                      <w:spacing w:val="0"/>
                      <w:sz w:val="21"/>
                      <w:szCs w:val="21"/>
                      <w:highlight w:val="none"/>
                      <w:lang w:val="en-US" w:eastAsia="zh-CN"/>
                    </w:rPr>
                    <w:t>0</w:t>
                  </w:r>
                </w:p>
              </w:tc>
            </w:tr>
            <w:tr w14:paraId="7AA367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03" w:hRule="atLeast"/>
                <w:jc w:val="center"/>
              </w:trPr>
              <w:tc>
                <w:tcPr>
                  <w:tcW w:w="662" w:type="pct"/>
                  <w:noWrap w:val="0"/>
                  <w:tcMar>
                    <w:top w:w="0" w:type="dxa"/>
                    <w:left w:w="0" w:type="dxa"/>
                    <w:bottom w:w="0" w:type="dxa"/>
                    <w:right w:w="0" w:type="dxa"/>
                  </w:tcMar>
                  <w:vAlign w:val="center"/>
                </w:tcPr>
                <w:p w14:paraId="47AB4A5D">
                  <w:pPr>
                    <w:jc w:val="center"/>
                    <w:rPr>
                      <w:rFonts w:hint="default" w:ascii="Times New Roman" w:hAnsi="Times New Roman"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4</w:t>
                  </w:r>
                </w:p>
              </w:tc>
              <w:tc>
                <w:tcPr>
                  <w:tcW w:w="1264" w:type="pct"/>
                  <w:noWrap w:val="0"/>
                  <w:tcMar>
                    <w:top w:w="0" w:type="dxa"/>
                    <w:left w:w="0" w:type="dxa"/>
                    <w:bottom w:w="0" w:type="dxa"/>
                    <w:right w:w="0" w:type="dxa"/>
                  </w:tcMar>
                  <w:vAlign w:val="center"/>
                </w:tcPr>
                <w:p w14:paraId="72C102A0">
                  <w:pPr>
                    <w:widowControl w:val="0"/>
                    <w:spacing w:line="240" w:lineRule="auto"/>
                    <w:jc w:val="center"/>
                    <w:textAlignment w:val="center"/>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bCs/>
                      <w:color w:val="000000"/>
                      <w:kern w:val="0"/>
                      <w:sz w:val="21"/>
                      <w:szCs w:val="21"/>
                      <w:highlight w:val="none"/>
                      <w:lang w:eastAsia="zh-CN"/>
                    </w:rPr>
                    <w:t>隧道烘干机</w:t>
                  </w:r>
                </w:p>
              </w:tc>
              <w:tc>
                <w:tcPr>
                  <w:tcW w:w="1090" w:type="pct"/>
                  <w:noWrap w:val="0"/>
                  <w:tcMar>
                    <w:top w:w="0" w:type="dxa"/>
                    <w:left w:w="0" w:type="dxa"/>
                    <w:bottom w:w="0" w:type="dxa"/>
                    <w:right w:w="0" w:type="dxa"/>
                  </w:tcMar>
                  <w:vAlign w:val="center"/>
                </w:tcPr>
                <w:p w14:paraId="775EA002">
                  <w:pPr>
                    <w:widowControl w:val="0"/>
                    <w:spacing w:line="240" w:lineRule="auto"/>
                    <w:jc w:val="center"/>
                    <w:textAlignment w:val="center"/>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bCs/>
                      <w:color w:val="000000"/>
                      <w:kern w:val="0"/>
                      <w:sz w:val="21"/>
                      <w:szCs w:val="21"/>
                      <w:highlight w:val="none"/>
                      <w:lang w:val="en-US" w:eastAsia="zh-CN"/>
                    </w:rPr>
                    <w:t>2</w:t>
                  </w:r>
                </w:p>
              </w:tc>
              <w:tc>
                <w:tcPr>
                  <w:tcW w:w="1161" w:type="pct"/>
                  <w:noWrap w:val="0"/>
                  <w:tcMar>
                    <w:top w:w="0" w:type="dxa"/>
                    <w:left w:w="0" w:type="dxa"/>
                    <w:bottom w:w="0" w:type="dxa"/>
                    <w:right w:w="0" w:type="dxa"/>
                  </w:tcMar>
                  <w:vAlign w:val="center"/>
                </w:tcPr>
                <w:p w14:paraId="2589AB79">
                  <w:pPr>
                    <w:widowControl w:val="0"/>
                    <w:spacing w:line="240" w:lineRule="auto"/>
                    <w:jc w:val="center"/>
                    <w:textAlignment w:val="center"/>
                    <w:rPr>
                      <w:rFonts w:hint="eastAsia" w:eastAsia="宋体"/>
                      <w:color w:val="7030A0"/>
                      <w:kern w:val="1"/>
                      <w:sz w:val="21"/>
                      <w:szCs w:val="21"/>
                      <w:highlight w:val="none"/>
                      <w:lang w:val="en-US" w:eastAsia="zh-CN" w:bidi="ar-SA"/>
                    </w:rPr>
                  </w:pPr>
                  <w:r>
                    <w:rPr>
                      <w:rFonts w:hint="eastAsia" w:cs="Times New Roman"/>
                      <w:bCs/>
                      <w:color w:val="000000"/>
                      <w:kern w:val="0"/>
                      <w:sz w:val="21"/>
                      <w:szCs w:val="21"/>
                      <w:highlight w:val="none"/>
                      <w:lang w:val="en-US" w:eastAsia="zh-CN"/>
                    </w:rPr>
                    <w:t>2</w:t>
                  </w:r>
                </w:p>
              </w:tc>
              <w:tc>
                <w:tcPr>
                  <w:tcW w:w="821" w:type="pct"/>
                  <w:noWrap w:val="0"/>
                  <w:tcMar>
                    <w:top w:w="0" w:type="dxa"/>
                    <w:left w:w="0" w:type="dxa"/>
                    <w:bottom w:w="0" w:type="dxa"/>
                    <w:right w:w="0" w:type="dxa"/>
                  </w:tcMar>
                  <w:vAlign w:val="center"/>
                </w:tcPr>
                <w:p w14:paraId="4CF0CD6B">
                  <w:pPr>
                    <w:adjustRightInd w:val="0"/>
                    <w:snapToGrid w:val="0"/>
                    <w:spacing w:line="240" w:lineRule="auto"/>
                    <w:ind w:left="1" w:leftChars="0" w:firstLine="0" w:firstLineChars="0"/>
                    <w:jc w:val="center"/>
                    <w:rPr>
                      <w:rFonts w:hint="default" w:ascii="Times New Roman" w:hAnsi="Times New Roman" w:cs="Times New Roman"/>
                      <w:color w:val="000000"/>
                      <w:spacing w:val="0"/>
                      <w:sz w:val="21"/>
                      <w:szCs w:val="21"/>
                      <w:highlight w:val="none"/>
                      <w:lang w:val="en-US" w:eastAsia="zh-CN"/>
                    </w:rPr>
                  </w:pPr>
                  <w:r>
                    <w:rPr>
                      <w:rFonts w:hint="eastAsia" w:cs="Times New Roman"/>
                      <w:color w:val="000000"/>
                      <w:spacing w:val="0"/>
                      <w:sz w:val="21"/>
                      <w:szCs w:val="21"/>
                      <w:highlight w:val="none"/>
                      <w:lang w:val="en-US" w:eastAsia="zh-CN"/>
                    </w:rPr>
                    <w:t>0</w:t>
                  </w:r>
                </w:p>
              </w:tc>
            </w:tr>
            <w:tr w14:paraId="5517CE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03" w:hRule="atLeast"/>
                <w:jc w:val="center"/>
              </w:trPr>
              <w:tc>
                <w:tcPr>
                  <w:tcW w:w="662" w:type="pct"/>
                  <w:noWrap w:val="0"/>
                  <w:tcMar>
                    <w:top w:w="0" w:type="dxa"/>
                    <w:left w:w="0" w:type="dxa"/>
                    <w:bottom w:w="0" w:type="dxa"/>
                    <w:right w:w="0" w:type="dxa"/>
                  </w:tcMar>
                  <w:vAlign w:val="center"/>
                </w:tcPr>
                <w:p w14:paraId="5FAE642C">
                  <w:pPr>
                    <w:jc w:val="center"/>
                    <w:rPr>
                      <w:rFonts w:hint="eastAsia" w:ascii="Times New Roman" w:hAnsi="Times New Roman"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5</w:t>
                  </w:r>
                </w:p>
              </w:tc>
              <w:tc>
                <w:tcPr>
                  <w:tcW w:w="1264" w:type="pct"/>
                  <w:noWrap w:val="0"/>
                  <w:tcMar>
                    <w:top w:w="0" w:type="dxa"/>
                    <w:left w:w="0" w:type="dxa"/>
                    <w:bottom w:w="0" w:type="dxa"/>
                    <w:right w:w="0" w:type="dxa"/>
                  </w:tcMar>
                  <w:vAlign w:val="center"/>
                </w:tcPr>
                <w:p w14:paraId="2BF0171F">
                  <w:pPr>
                    <w:widowControl w:val="0"/>
                    <w:spacing w:line="240" w:lineRule="auto"/>
                    <w:jc w:val="center"/>
                    <w:textAlignment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rPr>
                    <w:t>6色裁片印花机</w:t>
                  </w:r>
                </w:p>
              </w:tc>
              <w:tc>
                <w:tcPr>
                  <w:tcW w:w="1090" w:type="pct"/>
                  <w:noWrap w:val="0"/>
                  <w:tcMar>
                    <w:top w:w="0" w:type="dxa"/>
                    <w:left w:w="0" w:type="dxa"/>
                    <w:bottom w:w="0" w:type="dxa"/>
                    <w:right w:w="0" w:type="dxa"/>
                  </w:tcMar>
                  <w:vAlign w:val="center"/>
                </w:tcPr>
                <w:p w14:paraId="4CDEFF02">
                  <w:pPr>
                    <w:widowControl w:val="0"/>
                    <w:spacing w:line="240" w:lineRule="auto"/>
                    <w:jc w:val="center"/>
                    <w:textAlignment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rPr>
                    <w:t>1</w:t>
                  </w:r>
                </w:p>
              </w:tc>
              <w:tc>
                <w:tcPr>
                  <w:tcW w:w="1161" w:type="pct"/>
                  <w:noWrap w:val="0"/>
                  <w:tcMar>
                    <w:top w:w="0" w:type="dxa"/>
                    <w:left w:w="0" w:type="dxa"/>
                    <w:bottom w:w="0" w:type="dxa"/>
                    <w:right w:w="0" w:type="dxa"/>
                  </w:tcMar>
                  <w:vAlign w:val="center"/>
                </w:tcPr>
                <w:p w14:paraId="0299F757">
                  <w:pPr>
                    <w:widowControl w:val="0"/>
                    <w:spacing w:line="240" w:lineRule="auto"/>
                    <w:jc w:val="center"/>
                    <w:textAlignment w:val="center"/>
                    <w:rPr>
                      <w:rFonts w:hint="eastAsia" w:eastAsia="宋体"/>
                      <w:color w:val="7030A0"/>
                      <w:kern w:val="1"/>
                      <w:sz w:val="21"/>
                      <w:szCs w:val="21"/>
                      <w:highlight w:val="none"/>
                      <w:lang w:val="en-US" w:eastAsia="zh-CN" w:bidi="ar-SA"/>
                    </w:rPr>
                  </w:pPr>
                  <w:r>
                    <w:rPr>
                      <w:rFonts w:hint="eastAsia" w:cs="Times New Roman"/>
                      <w:bCs/>
                      <w:color w:val="000000"/>
                      <w:kern w:val="0"/>
                      <w:sz w:val="21"/>
                      <w:szCs w:val="21"/>
                      <w:highlight w:val="none"/>
                      <w:lang w:val="en-US" w:eastAsia="zh-CN"/>
                    </w:rPr>
                    <w:t>1</w:t>
                  </w:r>
                </w:p>
              </w:tc>
              <w:tc>
                <w:tcPr>
                  <w:tcW w:w="821" w:type="pct"/>
                  <w:noWrap w:val="0"/>
                  <w:tcMar>
                    <w:top w:w="0" w:type="dxa"/>
                    <w:left w:w="0" w:type="dxa"/>
                    <w:bottom w:w="0" w:type="dxa"/>
                    <w:right w:w="0" w:type="dxa"/>
                  </w:tcMar>
                  <w:vAlign w:val="center"/>
                </w:tcPr>
                <w:p w14:paraId="57DCFA76">
                  <w:pPr>
                    <w:adjustRightInd w:val="0"/>
                    <w:snapToGrid w:val="0"/>
                    <w:spacing w:line="240" w:lineRule="auto"/>
                    <w:ind w:left="1" w:leftChars="0" w:firstLine="0" w:firstLineChars="0"/>
                    <w:jc w:val="center"/>
                    <w:rPr>
                      <w:rFonts w:hint="default" w:ascii="Times New Roman" w:hAnsi="Times New Roman" w:cs="Times New Roman"/>
                      <w:color w:val="000000"/>
                      <w:spacing w:val="0"/>
                      <w:sz w:val="21"/>
                      <w:szCs w:val="21"/>
                      <w:highlight w:val="none"/>
                      <w:lang w:val="en-US" w:eastAsia="zh-CN"/>
                    </w:rPr>
                  </w:pPr>
                  <w:r>
                    <w:rPr>
                      <w:rFonts w:hint="eastAsia" w:cs="Times New Roman"/>
                      <w:color w:val="000000"/>
                      <w:spacing w:val="0"/>
                      <w:sz w:val="21"/>
                      <w:szCs w:val="21"/>
                      <w:highlight w:val="none"/>
                      <w:lang w:val="en-US" w:eastAsia="zh-CN"/>
                    </w:rPr>
                    <w:t>0</w:t>
                  </w:r>
                </w:p>
              </w:tc>
            </w:tr>
            <w:tr w14:paraId="4135A4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03" w:hRule="atLeast"/>
                <w:jc w:val="center"/>
              </w:trPr>
              <w:tc>
                <w:tcPr>
                  <w:tcW w:w="662" w:type="pct"/>
                  <w:noWrap w:val="0"/>
                  <w:tcMar>
                    <w:top w:w="0" w:type="dxa"/>
                    <w:left w:w="0" w:type="dxa"/>
                    <w:bottom w:w="0" w:type="dxa"/>
                    <w:right w:w="0" w:type="dxa"/>
                  </w:tcMar>
                  <w:vAlign w:val="center"/>
                </w:tcPr>
                <w:p w14:paraId="21ED01DB">
                  <w:pPr>
                    <w:jc w:val="center"/>
                    <w:rPr>
                      <w:rFonts w:hint="eastAsia" w:ascii="Times New Roman" w:hAnsi="Times New Roman"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6</w:t>
                  </w:r>
                </w:p>
              </w:tc>
              <w:tc>
                <w:tcPr>
                  <w:tcW w:w="1264" w:type="pct"/>
                  <w:noWrap w:val="0"/>
                  <w:tcMar>
                    <w:top w:w="0" w:type="dxa"/>
                    <w:left w:w="0" w:type="dxa"/>
                    <w:bottom w:w="0" w:type="dxa"/>
                    <w:right w:w="0" w:type="dxa"/>
                  </w:tcMar>
                  <w:vAlign w:val="center"/>
                </w:tcPr>
                <w:p w14:paraId="4FCEA9CF">
                  <w:pPr>
                    <w:widowControl w:val="0"/>
                    <w:spacing w:line="240" w:lineRule="auto"/>
                    <w:jc w:val="center"/>
                    <w:textAlignment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rPr>
                    <w:t>8色裁片印花机</w:t>
                  </w:r>
                </w:p>
              </w:tc>
              <w:tc>
                <w:tcPr>
                  <w:tcW w:w="1090" w:type="pct"/>
                  <w:noWrap w:val="0"/>
                  <w:tcMar>
                    <w:top w:w="0" w:type="dxa"/>
                    <w:left w:w="0" w:type="dxa"/>
                    <w:bottom w:w="0" w:type="dxa"/>
                    <w:right w:w="0" w:type="dxa"/>
                  </w:tcMar>
                  <w:vAlign w:val="center"/>
                </w:tcPr>
                <w:p w14:paraId="1F7B248C">
                  <w:pPr>
                    <w:widowControl w:val="0"/>
                    <w:spacing w:line="240" w:lineRule="auto"/>
                    <w:jc w:val="center"/>
                    <w:textAlignment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rPr>
                    <w:t>1</w:t>
                  </w:r>
                </w:p>
              </w:tc>
              <w:tc>
                <w:tcPr>
                  <w:tcW w:w="1161" w:type="pct"/>
                  <w:noWrap w:val="0"/>
                  <w:tcMar>
                    <w:top w:w="0" w:type="dxa"/>
                    <w:left w:w="0" w:type="dxa"/>
                    <w:bottom w:w="0" w:type="dxa"/>
                    <w:right w:w="0" w:type="dxa"/>
                  </w:tcMar>
                  <w:vAlign w:val="center"/>
                </w:tcPr>
                <w:p w14:paraId="70668FEB">
                  <w:pPr>
                    <w:widowControl w:val="0"/>
                    <w:spacing w:line="240" w:lineRule="auto"/>
                    <w:jc w:val="center"/>
                    <w:textAlignment w:val="center"/>
                    <w:rPr>
                      <w:rFonts w:hint="default"/>
                      <w:color w:val="7030A0"/>
                      <w:kern w:val="1"/>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rPr>
                    <w:t>1</w:t>
                  </w:r>
                </w:p>
              </w:tc>
              <w:tc>
                <w:tcPr>
                  <w:tcW w:w="821" w:type="pct"/>
                  <w:noWrap w:val="0"/>
                  <w:tcMar>
                    <w:top w:w="0" w:type="dxa"/>
                    <w:left w:w="0" w:type="dxa"/>
                    <w:bottom w:w="0" w:type="dxa"/>
                    <w:right w:w="0" w:type="dxa"/>
                  </w:tcMar>
                  <w:vAlign w:val="center"/>
                </w:tcPr>
                <w:p w14:paraId="31214888">
                  <w:pPr>
                    <w:adjustRightInd w:val="0"/>
                    <w:snapToGrid w:val="0"/>
                    <w:spacing w:line="240" w:lineRule="auto"/>
                    <w:ind w:left="1" w:leftChars="0" w:firstLine="0" w:firstLineChars="0"/>
                    <w:jc w:val="center"/>
                    <w:rPr>
                      <w:rFonts w:hint="default" w:ascii="Times New Roman" w:hAnsi="Times New Roman" w:cs="Times New Roman"/>
                      <w:color w:val="000000"/>
                      <w:spacing w:val="0"/>
                      <w:sz w:val="21"/>
                      <w:szCs w:val="21"/>
                      <w:highlight w:val="none"/>
                      <w:lang w:val="en-US" w:eastAsia="zh-CN"/>
                    </w:rPr>
                  </w:pPr>
                  <w:r>
                    <w:rPr>
                      <w:rFonts w:hint="eastAsia" w:ascii="Times New Roman" w:hAnsi="Times New Roman" w:eastAsia="宋体" w:cs="Times New Roman"/>
                      <w:color w:val="000000"/>
                      <w:spacing w:val="0"/>
                      <w:sz w:val="21"/>
                      <w:szCs w:val="21"/>
                      <w:highlight w:val="none"/>
                      <w:lang w:val="en-US" w:eastAsia="zh-CN"/>
                    </w:rPr>
                    <w:t>0</w:t>
                  </w:r>
                </w:p>
              </w:tc>
            </w:tr>
            <w:tr w14:paraId="287F7E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03" w:hRule="atLeast"/>
                <w:jc w:val="center"/>
              </w:trPr>
              <w:tc>
                <w:tcPr>
                  <w:tcW w:w="662" w:type="pct"/>
                  <w:noWrap w:val="0"/>
                  <w:tcMar>
                    <w:top w:w="0" w:type="dxa"/>
                    <w:left w:w="0" w:type="dxa"/>
                    <w:bottom w:w="0" w:type="dxa"/>
                    <w:right w:w="0" w:type="dxa"/>
                  </w:tcMar>
                  <w:vAlign w:val="center"/>
                </w:tcPr>
                <w:p w14:paraId="0EC3D057">
                  <w:pPr>
                    <w:jc w:val="center"/>
                    <w:rPr>
                      <w:rFonts w:hint="eastAsia" w:ascii="Times New Roman" w:hAnsi="Times New Roman"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7</w:t>
                  </w:r>
                </w:p>
              </w:tc>
              <w:tc>
                <w:tcPr>
                  <w:tcW w:w="1264" w:type="pct"/>
                  <w:noWrap w:val="0"/>
                  <w:tcMar>
                    <w:top w:w="0" w:type="dxa"/>
                    <w:left w:w="0" w:type="dxa"/>
                    <w:bottom w:w="0" w:type="dxa"/>
                    <w:right w:w="0" w:type="dxa"/>
                  </w:tcMar>
                  <w:vAlign w:val="center"/>
                </w:tcPr>
                <w:p w14:paraId="683A73B0">
                  <w:pPr>
                    <w:widowControl w:val="0"/>
                    <w:spacing w:line="240" w:lineRule="auto"/>
                    <w:jc w:val="center"/>
                    <w:textAlignment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eastAsia="zh-CN"/>
                    </w:rPr>
                    <w:t>灯箱</w:t>
                  </w:r>
                </w:p>
              </w:tc>
              <w:tc>
                <w:tcPr>
                  <w:tcW w:w="1090" w:type="pct"/>
                  <w:noWrap w:val="0"/>
                  <w:tcMar>
                    <w:top w:w="0" w:type="dxa"/>
                    <w:left w:w="0" w:type="dxa"/>
                    <w:bottom w:w="0" w:type="dxa"/>
                    <w:right w:w="0" w:type="dxa"/>
                  </w:tcMar>
                  <w:vAlign w:val="center"/>
                </w:tcPr>
                <w:p w14:paraId="165F42BD">
                  <w:pPr>
                    <w:widowControl w:val="0"/>
                    <w:spacing w:line="240" w:lineRule="auto"/>
                    <w:jc w:val="center"/>
                    <w:textAlignment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rPr>
                    <w:t>2</w:t>
                  </w:r>
                </w:p>
              </w:tc>
              <w:tc>
                <w:tcPr>
                  <w:tcW w:w="1161" w:type="pct"/>
                  <w:noWrap w:val="0"/>
                  <w:tcMar>
                    <w:top w:w="0" w:type="dxa"/>
                    <w:left w:w="0" w:type="dxa"/>
                    <w:bottom w:w="0" w:type="dxa"/>
                    <w:right w:w="0" w:type="dxa"/>
                  </w:tcMar>
                  <w:vAlign w:val="center"/>
                </w:tcPr>
                <w:p w14:paraId="087AD966">
                  <w:pPr>
                    <w:widowControl w:val="0"/>
                    <w:spacing w:line="240" w:lineRule="auto"/>
                    <w:jc w:val="center"/>
                    <w:textAlignment w:val="center"/>
                    <w:rPr>
                      <w:rFonts w:hint="default"/>
                      <w:color w:val="7030A0"/>
                      <w:kern w:val="1"/>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rPr>
                    <w:t>2</w:t>
                  </w:r>
                </w:p>
              </w:tc>
              <w:tc>
                <w:tcPr>
                  <w:tcW w:w="821" w:type="pct"/>
                  <w:noWrap w:val="0"/>
                  <w:tcMar>
                    <w:top w:w="0" w:type="dxa"/>
                    <w:left w:w="0" w:type="dxa"/>
                    <w:bottom w:w="0" w:type="dxa"/>
                    <w:right w:w="0" w:type="dxa"/>
                  </w:tcMar>
                  <w:vAlign w:val="center"/>
                </w:tcPr>
                <w:p w14:paraId="04CEC944">
                  <w:pPr>
                    <w:adjustRightInd w:val="0"/>
                    <w:snapToGrid w:val="0"/>
                    <w:spacing w:line="240" w:lineRule="auto"/>
                    <w:ind w:left="1" w:leftChars="0" w:firstLine="0" w:firstLineChars="0"/>
                    <w:jc w:val="center"/>
                    <w:rPr>
                      <w:rFonts w:hint="default" w:ascii="Times New Roman" w:hAnsi="Times New Roman" w:cs="Times New Roman"/>
                      <w:color w:val="000000"/>
                      <w:spacing w:val="0"/>
                      <w:sz w:val="21"/>
                      <w:szCs w:val="21"/>
                      <w:highlight w:val="none"/>
                      <w:lang w:val="en-US" w:eastAsia="zh-CN"/>
                    </w:rPr>
                  </w:pPr>
                  <w:r>
                    <w:rPr>
                      <w:rFonts w:hint="eastAsia" w:ascii="Times New Roman" w:hAnsi="Times New Roman" w:eastAsia="宋体" w:cs="Times New Roman"/>
                      <w:color w:val="000000"/>
                      <w:spacing w:val="0"/>
                      <w:sz w:val="21"/>
                      <w:szCs w:val="21"/>
                      <w:highlight w:val="none"/>
                      <w:lang w:val="en-US" w:eastAsia="zh-CN"/>
                    </w:rPr>
                    <w:t>0</w:t>
                  </w:r>
                </w:p>
              </w:tc>
            </w:tr>
            <w:tr w14:paraId="0C9B96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03" w:hRule="atLeast"/>
                <w:jc w:val="center"/>
              </w:trPr>
              <w:tc>
                <w:tcPr>
                  <w:tcW w:w="662" w:type="pct"/>
                  <w:noWrap w:val="0"/>
                  <w:tcMar>
                    <w:top w:w="0" w:type="dxa"/>
                    <w:left w:w="0" w:type="dxa"/>
                    <w:bottom w:w="0" w:type="dxa"/>
                    <w:right w:w="0" w:type="dxa"/>
                  </w:tcMar>
                  <w:vAlign w:val="center"/>
                </w:tcPr>
                <w:p w14:paraId="411EE1FD">
                  <w:pPr>
                    <w:jc w:val="center"/>
                    <w:rPr>
                      <w:rFonts w:hint="eastAsia" w:ascii="Times New Roman" w:hAnsi="Times New Roman"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8</w:t>
                  </w:r>
                </w:p>
              </w:tc>
              <w:tc>
                <w:tcPr>
                  <w:tcW w:w="1264" w:type="pct"/>
                  <w:noWrap w:val="0"/>
                  <w:tcMar>
                    <w:top w:w="0" w:type="dxa"/>
                    <w:left w:w="0" w:type="dxa"/>
                    <w:bottom w:w="0" w:type="dxa"/>
                    <w:right w:w="0" w:type="dxa"/>
                  </w:tcMar>
                  <w:vAlign w:val="center"/>
                </w:tcPr>
                <w:p w14:paraId="3B54B4FA">
                  <w:pPr>
                    <w:widowControl w:val="0"/>
                    <w:spacing w:line="240" w:lineRule="auto"/>
                    <w:jc w:val="center"/>
                    <w:textAlignment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eastAsia="zh-CN"/>
                    </w:rPr>
                    <w:t>电烫机</w:t>
                  </w:r>
                </w:p>
              </w:tc>
              <w:tc>
                <w:tcPr>
                  <w:tcW w:w="1090" w:type="pct"/>
                  <w:noWrap w:val="0"/>
                  <w:tcMar>
                    <w:top w:w="0" w:type="dxa"/>
                    <w:left w:w="0" w:type="dxa"/>
                    <w:bottom w:w="0" w:type="dxa"/>
                    <w:right w:w="0" w:type="dxa"/>
                  </w:tcMar>
                  <w:vAlign w:val="center"/>
                </w:tcPr>
                <w:p w14:paraId="193D9ED6">
                  <w:pPr>
                    <w:widowControl w:val="0"/>
                    <w:spacing w:line="240" w:lineRule="auto"/>
                    <w:jc w:val="center"/>
                    <w:textAlignment w:val="center"/>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rPr>
                    <w:t>2</w:t>
                  </w:r>
                </w:p>
              </w:tc>
              <w:tc>
                <w:tcPr>
                  <w:tcW w:w="1161" w:type="pct"/>
                  <w:noWrap w:val="0"/>
                  <w:tcMar>
                    <w:top w:w="0" w:type="dxa"/>
                    <w:left w:w="0" w:type="dxa"/>
                    <w:bottom w:w="0" w:type="dxa"/>
                    <w:right w:w="0" w:type="dxa"/>
                  </w:tcMar>
                  <w:vAlign w:val="center"/>
                </w:tcPr>
                <w:p w14:paraId="35E4AF82">
                  <w:pPr>
                    <w:widowControl w:val="0"/>
                    <w:spacing w:line="240" w:lineRule="auto"/>
                    <w:jc w:val="center"/>
                    <w:textAlignment w:val="center"/>
                    <w:rPr>
                      <w:rFonts w:hint="eastAsia" w:eastAsia="宋体"/>
                      <w:color w:val="7030A0"/>
                      <w:kern w:val="1"/>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rPr>
                    <w:t>2</w:t>
                  </w:r>
                </w:p>
              </w:tc>
              <w:tc>
                <w:tcPr>
                  <w:tcW w:w="821" w:type="pct"/>
                  <w:noWrap w:val="0"/>
                  <w:tcMar>
                    <w:top w:w="0" w:type="dxa"/>
                    <w:left w:w="0" w:type="dxa"/>
                    <w:bottom w:w="0" w:type="dxa"/>
                    <w:right w:w="0" w:type="dxa"/>
                  </w:tcMar>
                  <w:vAlign w:val="center"/>
                </w:tcPr>
                <w:p w14:paraId="3F74F1C5">
                  <w:pPr>
                    <w:adjustRightInd w:val="0"/>
                    <w:snapToGrid w:val="0"/>
                    <w:spacing w:line="240" w:lineRule="auto"/>
                    <w:jc w:val="center"/>
                    <w:rPr>
                      <w:rFonts w:hint="default" w:ascii="Times New Roman" w:hAnsi="Times New Roman" w:cs="Times New Roman"/>
                      <w:color w:val="000000"/>
                      <w:spacing w:val="0"/>
                      <w:sz w:val="21"/>
                      <w:szCs w:val="21"/>
                      <w:highlight w:val="none"/>
                      <w:lang w:val="en-US" w:eastAsia="zh-CN"/>
                    </w:rPr>
                  </w:pPr>
                  <w:r>
                    <w:rPr>
                      <w:rFonts w:hint="eastAsia" w:cs="Times New Roman"/>
                      <w:color w:val="000000"/>
                      <w:spacing w:val="0"/>
                      <w:sz w:val="21"/>
                      <w:szCs w:val="21"/>
                      <w:highlight w:val="none"/>
                      <w:lang w:val="en-US" w:eastAsia="zh-CN"/>
                    </w:rPr>
                    <w:t>0</w:t>
                  </w:r>
                </w:p>
              </w:tc>
            </w:tr>
          </w:tbl>
          <w:p w14:paraId="450E7696">
            <w:pPr>
              <w:pStyle w:val="23"/>
              <w:widowControl/>
              <w:shd w:val="clear" w:color="auto" w:fill="auto"/>
              <w:spacing w:before="157" w:beforeLines="50" w:beforeAutospacing="0" w:after="0" w:afterAutospacing="0" w:line="360" w:lineRule="auto"/>
              <w:ind w:firstLine="480" w:firstLineChars="200"/>
              <w:jc w:val="both"/>
              <w:rPr>
                <w:rFonts w:hint="eastAsia"/>
                <w:szCs w:val="24"/>
                <w:highlight w:val="none"/>
                <w:lang w:eastAsia="zh-CN"/>
              </w:rPr>
            </w:pPr>
            <w:r>
              <w:rPr>
                <w:rFonts w:hint="default" w:ascii="Times New Roman" w:hAnsi="Times New Roman" w:cs="Times New Roman"/>
                <w:szCs w:val="24"/>
                <w:highlight w:val="none"/>
                <w:lang w:eastAsia="zh-CN"/>
              </w:rPr>
              <w:t>（</w:t>
            </w:r>
            <w:r>
              <w:rPr>
                <w:rFonts w:hint="default" w:ascii="Times New Roman" w:hAnsi="Times New Roman" w:cs="Times New Roman"/>
                <w:szCs w:val="24"/>
                <w:highlight w:val="none"/>
                <w:lang w:val="en-US" w:eastAsia="zh-CN"/>
              </w:rPr>
              <w:t>3</w:t>
            </w:r>
            <w:r>
              <w:rPr>
                <w:rFonts w:hint="default" w:ascii="Times New Roman" w:hAnsi="Times New Roman" w:cs="Times New Roman"/>
                <w:szCs w:val="24"/>
                <w:highlight w:val="none"/>
                <w:lang w:eastAsia="zh-CN"/>
              </w:rPr>
              <w:t>）</w:t>
            </w:r>
            <w:r>
              <w:rPr>
                <w:rFonts w:hint="eastAsia"/>
                <w:szCs w:val="24"/>
                <w:highlight w:val="none"/>
                <w:lang w:eastAsia="zh-CN"/>
              </w:rPr>
              <w:t>现有项目生产工艺及产污环节</w:t>
            </w:r>
          </w:p>
          <w:p w14:paraId="106DAE05">
            <w:pPr>
              <w:spacing w:line="360" w:lineRule="auto"/>
              <w:ind w:firstLine="480" w:firstLineChars="200"/>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①服装</w:t>
            </w:r>
          </w:p>
          <w:p w14:paraId="2DB155F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b w:val="0"/>
                <w:bCs w:val="0"/>
                <w:sz w:val="24"/>
                <w:highlight w:val="none"/>
                <w:lang w:val="en-US" w:eastAsia="zh-CN"/>
              </w:rPr>
            </w:pPr>
            <w:r>
              <w:rPr>
                <w:highlight w:val="none"/>
              </w:rPr>
              <w:drawing>
                <wp:inline distT="0" distB="0" distL="114300" distR="114300">
                  <wp:extent cx="5043170" cy="831850"/>
                  <wp:effectExtent l="0" t="0" r="5080" b="635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7"/>
                          <a:stretch>
                            <a:fillRect/>
                          </a:stretch>
                        </pic:blipFill>
                        <pic:spPr>
                          <a:xfrm>
                            <a:off x="0" y="0"/>
                            <a:ext cx="5043170" cy="831850"/>
                          </a:xfrm>
                          <a:prstGeom prst="rect">
                            <a:avLst/>
                          </a:prstGeom>
                          <a:noFill/>
                          <a:ln>
                            <a:noFill/>
                          </a:ln>
                        </pic:spPr>
                      </pic:pic>
                    </a:graphicData>
                  </a:graphic>
                </wp:inline>
              </w:drawing>
            </w:r>
          </w:p>
          <w:p w14:paraId="79D81F6F">
            <w:pPr>
              <w:pStyle w:val="41"/>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ascii="Times New Roman" w:hAnsi="Times New Roman" w:eastAsia="宋体" w:cs="Times New Roman"/>
                <w:b w:val="0"/>
                <w:bCs w:val="0"/>
                <w:sz w:val="24"/>
                <w:highlight w:val="none"/>
                <w:lang w:val="en-US" w:eastAsia="zh-CN"/>
              </w:rPr>
              <w:t>②</w:t>
            </w:r>
            <w:r>
              <w:rPr>
                <w:rFonts w:hint="eastAsia" w:ascii="Times New Roman" w:hAnsi="Times New Roman" w:cs="Times New Roman"/>
                <w:b w:val="0"/>
                <w:bCs w:val="0"/>
                <w:sz w:val="24"/>
                <w:highlight w:val="none"/>
                <w:lang w:val="en-US" w:eastAsia="zh-CN"/>
              </w:rPr>
              <w:t>印花片、印花布</w:t>
            </w:r>
          </w:p>
          <w:p w14:paraId="2FEC8F0E">
            <w:pPr>
              <w:adjustRightInd w:val="0"/>
              <w:snapToGrid w:val="0"/>
              <w:jc w:val="both"/>
              <w:rPr>
                <w:highlight w:val="none"/>
              </w:rPr>
            </w:pPr>
            <w:r>
              <w:rPr>
                <w:highlight w:val="none"/>
              </w:rPr>
              <w:drawing>
                <wp:inline distT="0" distB="0" distL="114300" distR="114300">
                  <wp:extent cx="5042535" cy="1886585"/>
                  <wp:effectExtent l="0" t="0" r="5715" b="18415"/>
                  <wp:docPr id="22"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70"/>
                          <pic:cNvPicPr>
                            <a:picLocks noChangeAspect="1"/>
                          </pic:cNvPicPr>
                        </pic:nvPicPr>
                        <pic:blipFill>
                          <a:blip r:embed="rId18"/>
                          <a:stretch>
                            <a:fillRect/>
                          </a:stretch>
                        </pic:blipFill>
                        <pic:spPr>
                          <a:xfrm>
                            <a:off x="0" y="0"/>
                            <a:ext cx="5042535" cy="1886585"/>
                          </a:xfrm>
                          <a:prstGeom prst="rect">
                            <a:avLst/>
                          </a:prstGeom>
                          <a:noFill/>
                          <a:ln>
                            <a:noFill/>
                          </a:ln>
                        </pic:spPr>
                      </pic:pic>
                    </a:graphicData>
                  </a:graphic>
                </wp:inline>
              </w:drawing>
            </w:r>
          </w:p>
          <w:p w14:paraId="7158B7FA">
            <w:pPr>
              <w:pStyle w:val="9"/>
              <w:ind w:firstLine="0"/>
              <w:jc w:val="center"/>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b/>
                <w:color w:val="000000"/>
                <w:sz w:val="24"/>
                <w:szCs w:val="24"/>
                <w:highlight w:val="none"/>
              </w:rPr>
              <w:t>图</w:t>
            </w:r>
            <w:r>
              <w:rPr>
                <w:rFonts w:hint="eastAsia" w:ascii="Times New Roman" w:hAnsi="Times New Roman" w:eastAsia="宋体" w:cs="Times New Roman"/>
                <w:b/>
                <w:color w:val="000000"/>
                <w:sz w:val="24"/>
                <w:szCs w:val="24"/>
                <w:highlight w:val="none"/>
                <w:lang w:val="en-US" w:eastAsia="zh-CN"/>
              </w:rPr>
              <w:t>2</w:t>
            </w:r>
            <w:r>
              <w:rPr>
                <w:rFonts w:hint="default" w:ascii="Times New Roman" w:hAnsi="Times New Roman" w:eastAsia="宋体" w:cs="Times New Roman"/>
                <w:b/>
                <w:color w:val="000000"/>
                <w:sz w:val="24"/>
                <w:szCs w:val="24"/>
                <w:highlight w:val="none"/>
              </w:rPr>
              <w:t>-</w:t>
            </w:r>
            <w:r>
              <w:rPr>
                <w:rFonts w:hint="eastAsia" w:ascii="Times New Roman" w:hAnsi="Times New Roman" w:eastAsia="宋体" w:cs="Times New Roman"/>
                <w:b/>
                <w:color w:val="000000"/>
                <w:sz w:val="24"/>
                <w:szCs w:val="24"/>
                <w:highlight w:val="none"/>
                <w:lang w:val="en-US" w:eastAsia="zh-CN"/>
              </w:rPr>
              <w:t xml:space="preserve">4 </w:t>
            </w:r>
            <w:r>
              <w:rPr>
                <w:rFonts w:hint="eastAsia" w:cs="Times New Roman"/>
                <w:b/>
                <w:color w:val="000000"/>
                <w:sz w:val="24"/>
                <w:szCs w:val="24"/>
                <w:highlight w:val="none"/>
                <w:lang w:val="en-US" w:eastAsia="zh-CN"/>
              </w:rPr>
              <w:t>印花</w:t>
            </w:r>
            <w:r>
              <w:rPr>
                <w:rFonts w:hint="default" w:ascii="Times New Roman" w:hAnsi="Times New Roman" w:eastAsia="宋体" w:cs="Times New Roman"/>
                <w:b/>
                <w:color w:val="000000"/>
                <w:sz w:val="24"/>
                <w:szCs w:val="24"/>
                <w:highlight w:val="none"/>
              </w:rPr>
              <w:t>生产工艺流程图</w:t>
            </w:r>
          </w:p>
          <w:p w14:paraId="093F2C36">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2" w:firstLineChars="200"/>
              <w:jc w:val="both"/>
              <w:textAlignment w:val="auto"/>
              <w:outlineLvl w:val="1"/>
              <w:rPr>
                <w:rFonts w:hint="default"/>
                <w:highlight w:val="none"/>
                <w:lang w:val="en-US" w:eastAsia="zh-CN"/>
              </w:rPr>
            </w:pPr>
            <w:r>
              <w:rPr>
                <w:rFonts w:hint="default" w:ascii="Times New Roman" w:hAnsi="Times New Roman" w:eastAsia="宋体" w:cs="Times New Roman"/>
                <w:b/>
                <w:color w:val="000000"/>
                <w:sz w:val="24"/>
                <w:szCs w:val="24"/>
                <w:highlight w:val="none"/>
                <w:lang w:eastAsia="zh-CN"/>
              </w:rPr>
              <w:t>工艺说明：</w:t>
            </w:r>
          </w:p>
          <w:p w14:paraId="606B0787">
            <w:pPr>
              <w:pStyle w:val="63"/>
              <w:spacing w:line="360" w:lineRule="auto"/>
              <w:ind w:left="0" w:right="0" w:firstLine="480" w:firstLineChars="200"/>
              <w:jc w:val="both"/>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①</w:t>
            </w:r>
            <w:r>
              <w:rPr>
                <w:rFonts w:hint="eastAsia" w:cs="Times New Roman"/>
                <w:color w:val="000000"/>
                <w:sz w:val="24"/>
                <w:szCs w:val="24"/>
                <w:highlight w:val="none"/>
                <w:lang w:eastAsia="zh-CN"/>
              </w:rPr>
              <w:t>服装</w:t>
            </w:r>
            <w:r>
              <w:rPr>
                <w:rFonts w:hint="eastAsia" w:ascii="Times New Roman" w:hAnsi="Times New Roman" w:eastAsia="宋体" w:cs="Times New Roman"/>
                <w:color w:val="000000"/>
                <w:sz w:val="24"/>
                <w:szCs w:val="24"/>
                <w:highlight w:val="none"/>
                <w:lang w:eastAsia="zh-CN"/>
              </w:rPr>
              <w:t>：</w:t>
            </w:r>
          </w:p>
          <w:p w14:paraId="0168F188">
            <w:pPr>
              <w:spacing w:beforeLines="0" w:afterLines="0"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项目服装生产为外协加工，加工后的成品回厂检验包装</w:t>
            </w:r>
            <w:r>
              <w:rPr>
                <w:rFonts w:hint="eastAsia" w:ascii="Times New Roman" w:hAnsi="Times New Roman" w:eastAsia="宋体" w:cs="Times New Roman"/>
                <w:color w:val="auto"/>
                <w:sz w:val="24"/>
                <w:szCs w:val="24"/>
                <w:highlight w:val="none"/>
                <w:lang w:eastAsia="zh-CN"/>
              </w:rPr>
              <w:t>。</w:t>
            </w:r>
          </w:p>
          <w:p w14:paraId="5E913085">
            <w:pPr>
              <w:pStyle w:val="63"/>
              <w:spacing w:line="360" w:lineRule="auto"/>
              <w:ind w:left="0" w:right="0" w:firstLine="480" w:firstLineChars="200"/>
              <w:jc w:val="both"/>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②</w:t>
            </w:r>
            <w:r>
              <w:rPr>
                <w:rFonts w:hint="eastAsia" w:cs="Times New Roman"/>
                <w:color w:val="auto"/>
                <w:sz w:val="24"/>
                <w:szCs w:val="24"/>
                <w:highlight w:val="none"/>
                <w:lang w:eastAsia="zh-CN"/>
              </w:rPr>
              <w:t>印花</w:t>
            </w:r>
            <w:r>
              <w:rPr>
                <w:rFonts w:hint="eastAsia" w:ascii="Times New Roman" w:hAnsi="Times New Roman" w:eastAsia="宋体" w:cs="Times New Roman"/>
                <w:color w:val="auto"/>
                <w:sz w:val="24"/>
                <w:szCs w:val="24"/>
                <w:highlight w:val="none"/>
                <w:lang w:eastAsia="zh-CN"/>
              </w:rPr>
              <w:t>：</w:t>
            </w:r>
          </w:p>
          <w:p w14:paraId="4103D9B3">
            <w:pPr>
              <w:pStyle w:val="4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en-US" w:eastAsia="zh-CN"/>
              </w:rPr>
            </w:pPr>
            <w:r>
              <w:rPr>
                <w:rFonts w:hint="eastAsia"/>
                <w:color w:val="auto"/>
                <w:highlight w:val="none"/>
                <w:lang w:val="en-US" w:eastAsia="zh-CN"/>
              </w:rPr>
              <w:t>项目使用印花网版作为原料进行制板，经晒板后得到所需图案的网板，将固浆、胶浆等原料按一定比例调配好的浆料导入丝网版框采用人工印花，使浆料透过网板印在布片上，布片、布匹烘干或晾干后经检验后即为成品。（本项目印花的布片均为成品布片（裁剪外加工），少量布片在运输过程中褶皱，在印花前需要用电烫机熨平，烘干工序采用的是隧道烘干机，为电加热烘干。）</w:t>
            </w:r>
          </w:p>
          <w:p w14:paraId="0F87C0B4">
            <w:pPr>
              <w:pStyle w:val="63"/>
              <w:spacing w:beforeLines="0" w:afterLines="0" w:line="360" w:lineRule="auto"/>
              <w:ind w:left="0" w:right="0" w:firstLine="482" w:firstLineChars="200"/>
              <w:jc w:val="both"/>
              <w:rPr>
                <w:rFonts w:hint="eastAsia" w:ascii="Times New Roman" w:hAnsi="Times New Roman" w:eastAsia="宋体" w:cs="Times New Roman"/>
                <w:b/>
                <w:bCs/>
                <w:color w:val="000000"/>
                <w:sz w:val="24"/>
                <w:szCs w:val="24"/>
                <w:highlight w:val="none"/>
                <w:lang w:eastAsia="zh-CN"/>
              </w:rPr>
            </w:pPr>
            <w:r>
              <w:rPr>
                <w:rFonts w:hint="eastAsia" w:ascii="Times New Roman" w:hAnsi="Times New Roman" w:eastAsia="宋体" w:cs="Times New Roman"/>
                <w:b/>
                <w:bCs/>
                <w:color w:val="000000"/>
                <w:sz w:val="24"/>
                <w:szCs w:val="24"/>
                <w:highlight w:val="none"/>
                <w:lang w:eastAsia="zh-CN"/>
              </w:rPr>
              <w:t>产</w:t>
            </w:r>
            <w:r>
              <w:rPr>
                <w:rFonts w:hint="eastAsia" w:cs="Times New Roman"/>
                <w:b/>
                <w:bCs/>
                <w:color w:val="000000"/>
                <w:sz w:val="24"/>
                <w:szCs w:val="24"/>
                <w:highlight w:val="none"/>
                <w:lang w:eastAsia="zh-CN"/>
              </w:rPr>
              <w:t>污</w:t>
            </w:r>
            <w:r>
              <w:rPr>
                <w:rFonts w:hint="eastAsia" w:ascii="Times New Roman" w:hAnsi="Times New Roman" w:eastAsia="宋体" w:cs="Times New Roman"/>
                <w:b/>
                <w:bCs/>
                <w:color w:val="000000"/>
                <w:sz w:val="24"/>
                <w:szCs w:val="24"/>
                <w:highlight w:val="none"/>
                <w:lang w:eastAsia="zh-CN"/>
              </w:rPr>
              <w:t>环节：</w:t>
            </w:r>
          </w:p>
          <w:p w14:paraId="47D82917">
            <w:pPr>
              <w:pStyle w:val="63"/>
              <w:spacing w:beforeLines="0" w:afterLines="0" w:line="360" w:lineRule="auto"/>
              <w:ind w:left="0" w:right="0" w:firstLine="480" w:firstLineChars="200"/>
              <w:jc w:val="both"/>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①废水：</w:t>
            </w:r>
            <w:r>
              <w:rPr>
                <w:rFonts w:hint="eastAsia" w:cs="Times New Roman"/>
                <w:color w:val="000000"/>
                <w:sz w:val="24"/>
                <w:szCs w:val="24"/>
                <w:highlight w:val="none"/>
                <w:lang w:eastAsia="zh-CN"/>
              </w:rPr>
              <w:t>现有</w:t>
            </w:r>
            <w:r>
              <w:rPr>
                <w:rFonts w:hint="eastAsia" w:ascii="Times New Roman" w:hAnsi="Times New Roman" w:eastAsia="宋体" w:cs="Times New Roman"/>
                <w:color w:val="000000"/>
                <w:sz w:val="24"/>
                <w:szCs w:val="24"/>
                <w:highlight w:val="none"/>
                <w:lang w:eastAsia="zh-CN"/>
              </w:rPr>
              <w:t>项目废水主要为生产废水及职工生活用水。</w:t>
            </w:r>
            <w:r>
              <w:rPr>
                <w:rFonts w:hint="eastAsia" w:cs="Times New Roman"/>
                <w:color w:val="000000"/>
                <w:sz w:val="24"/>
                <w:szCs w:val="24"/>
                <w:highlight w:val="none"/>
                <w:lang w:eastAsia="zh-CN"/>
              </w:rPr>
              <w:t>现有</w:t>
            </w:r>
            <w:r>
              <w:rPr>
                <w:rFonts w:hint="eastAsia" w:ascii="Times New Roman" w:hAnsi="Times New Roman" w:eastAsia="宋体" w:cs="Times New Roman"/>
                <w:color w:val="000000"/>
                <w:sz w:val="24"/>
                <w:szCs w:val="24"/>
                <w:highlight w:val="none"/>
                <w:lang w:eastAsia="zh-CN"/>
              </w:rPr>
              <w:t>项目生产废水主要为</w:t>
            </w:r>
            <w:r>
              <w:rPr>
                <w:rFonts w:hint="eastAsia" w:cs="Times New Roman"/>
                <w:color w:val="000000"/>
                <w:sz w:val="24"/>
                <w:szCs w:val="24"/>
                <w:highlight w:val="none"/>
                <w:lang w:eastAsia="zh-CN"/>
              </w:rPr>
              <w:t>印花过程中的洗板、冲桶及桌面清洗废水</w:t>
            </w:r>
            <w:r>
              <w:rPr>
                <w:rFonts w:hint="eastAsia" w:ascii="Times New Roman" w:hAnsi="Times New Roman" w:eastAsia="宋体" w:cs="Times New Roman"/>
                <w:color w:val="000000"/>
                <w:sz w:val="24"/>
                <w:szCs w:val="24"/>
                <w:highlight w:val="none"/>
                <w:lang w:eastAsia="zh-CN"/>
              </w:rPr>
              <w:t>。</w:t>
            </w:r>
          </w:p>
          <w:p w14:paraId="6491CD2C">
            <w:pPr>
              <w:pStyle w:val="63"/>
              <w:spacing w:beforeLines="0" w:afterLines="0" w:line="360" w:lineRule="auto"/>
              <w:ind w:left="0" w:right="0" w:firstLine="480" w:firstLineChars="200"/>
              <w:jc w:val="both"/>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②废气：</w:t>
            </w:r>
            <w:r>
              <w:rPr>
                <w:rFonts w:hint="eastAsia" w:cs="Times New Roman"/>
                <w:color w:val="000000"/>
                <w:sz w:val="24"/>
                <w:szCs w:val="24"/>
                <w:highlight w:val="none"/>
                <w:lang w:eastAsia="zh-CN"/>
              </w:rPr>
              <w:t>现有</w:t>
            </w:r>
            <w:r>
              <w:rPr>
                <w:rFonts w:hint="eastAsia" w:ascii="Times New Roman" w:hAnsi="Times New Roman" w:eastAsia="宋体" w:cs="Times New Roman"/>
                <w:color w:val="000000"/>
                <w:sz w:val="24"/>
                <w:szCs w:val="24"/>
                <w:highlight w:val="none"/>
                <w:lang w:eastAsia="zh-CN"/>
              </w:rPr>
              <w:t>项目工艺废气主要为调浆工序、制版工序和刷胶、印</w:t>
            </w:r>
            <w:r>
              <w:rPr>
                <w:rFonts w:hint="eastAsia" w:cs="Times New Roman"/>
                <w:color w:val="000000"/>
                <w:sz w:val="24"/>
                <w:szCs w:val="24"/>
                <w:highlight w:val="none"/>
                <w:lang w:eastAsia="zh-CN"/>
              </w:rPr>
              <w:t>花</w:t>
            </w:r>
            <w:r>
              <w:rPr>
                <w:rFonts w:hint="eastAsia" w:ascii="Times New Roman" w:hAnsi="Times New Roman" w:eastAsia="宋体" w:cs="Times New Roman"/>
                <w:color w:val="000000"/>
                <w:sz w:val="24"/>
                <w:szCs w:val="24"/>
                <w:highlight w:val="none"/>
                <w:lang w:eastAsia="zh-CN"/>
              </w:rPr>
              <w:t>、烘干（晾干）工序产生的有机废气。</w:t>
            </w:r>
          </w:p>
          <w:p w14:paraId="7D246F00">
            <w:pPr>
              <w:pStyle w:val="63"/>
              <w:spacing w:beforeLines="0" w:afterLines="0" w:line="360" w:lineRule="auto"/>
              <w:ind w:left="0" w:right="0" w:firstLine="480" w:firstLineChars="200"/>
              <w:jc w:val="both"/>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eastAsia="zh-CN"/>
              </w:rPr>
              <w:t>③噪声</w:t>
            </w:r>
            <w:r>
              <w:rPr>
                <w:rFonts w:hint="eastAsia" w:ascii="Times New Roman" w:hAnsi="Times New Roman" w:eastAsia="宋体" w:cs="Times New Roman"/>
                <w:color w:val="000000"/>
                <w:sz w:val="24"/>
                <w:szCs w:val="24"/>
                <w:highlight w:val="none"/>
                <w:lang w:val="en-US" w:eastAsia="zh-CN"/>
              </w:rPr>
              <w:t xml:space="preserve"> ：</w:t>
            </w:r>
            <w:r>
              <w:rPr>
                <w:rFonts w:hint="eastAsia" w:cs="Times New Roman"/>
                <w:color w:val="000000"/>
                <w:sz w:val="24"/>
                <w:szCs w:val="24"/>
                <w:highlight w:val="none"/>
                <w:lang w:val="en-US" w:eastAsia="zh-CN"/>
              </w:rPr>
              <w:t>现有</w:t>
            </w:r>
            <w:r>
              <w:rPr>
                <w:rFonts w:hint="eastAsia" w:ascii="Times New Roman" w:hAnsi="Times New Roman" w:eastAsia="宋体" w:cs="Times New Roman"/>
                <w:color w:val="000000"/>
                <w:sz w:val="24"/>
                <w:szCs w:val="24"/>
                <w:highlight w:val="none"/>
                <w:lang w:val="en-US" w:eastAsia="zh-CN"/>
              </w:rPr>
              <w:t>项目噪声主要为生产设备运行过程中产生的机械噪声。</w:t>
            </w:r>
          </w:p>
          <w:p w14:paraId="2E49BCE6">
            <w:pPr>
              <w:pStyle w:val="2"/>
              <w:spacing w:after="0"/>
              <w:ind w:left="0" w:leftChars="0" w:firstLine="480"/>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④固废：职工生活垃圾；</w:t>
            </w:r>
            <w:r>
              <w:rPr>
                <w:rFonts w:hint="eastAsia" w:cs="Times New Roman"/>
                <w:color w:val="000000"/>
                <w:sz w:val="24"/>
                <w:szCs w:val="24"/>
                <w:highlight w:val="none"/>
                <w:lang w:val="en-US" w:eastAsia="zh-CN"/>
              </w:rPr>
              <w:t>废</w:t>
            </w:r>
            <w:r>
              <w:rPr>
                <w:rFonts w:hint="eastAsia" w:ascii="Times New Roman" w:hAnsi="Times New Roman" w:eastAsia="宋体" w:cs="Times New Roman"/>
                <w:color w:val="000000"/>
                <w:sz w:val="24"/>
                <w:szCs w:val="24"/>
                <w:highlight w:val="none"/>
                <w:lang w:val="en-US" w:eastAsia="zh-CN"/>
              </w:rPr>
              <w:t>次品；项目淘汰图案时会产生废</w:t>
            </w:r>
            <w:r>
              <w:rPr>
                <w:rFonts w:hint="eastAsia" w:cs="Times New Roman"/>
                <w:color w:val="000000"/>
                <w:sz w:val="24"/>
                <w:szCs w:val="24"/>
                <w:highlight w:val="none"/>
                <w:lang w:val="en-US" w:eastAsia="zh-CN"/>
              </w:rPr>
              <w:t>丝印</w:t>
            </w:r>
            <w:r>
              <w:rPr>
                <w:rFonts w:hint="eastAsia" w:ascii="Times New Roman" w:hAnsi="Times New Roman" w:eastAsia="宋体" w:cs="Times New Roman"/>
                <w:color w:val="000000"/>
                <w:sz w:val="24"/>
                <w:szCs w:val="24"/>
                <w:highlight w:val="none"/>
                <w:lang w:val="en-US" w:eastAsia="zh-CN"/>
              </w:rPr>
              <w:t>版框；胶浆、固浆等使用后会产生原料空桶；活性炭吸附装置定期维护会产生废活性炭；废水处理设施运行会产生污泥。</w:t>
            </w:r>
          </w:p>
          <w:p w14:paraId="6F0FB10C">
            <w:pPr>
              <w:pStyle w:val="2"/>
              <w:spacing w:after="0"/>
              <w:ind w:left="0" w:leftChars="0" w:firstLine="480"/>
              <w:rPr>
                <w:rFonts w:hint="default" w:ascii="Times New Roman" w:hAnsi="Times New Roman" w:cs="Times New Roman"/>
                <w:b w:val="0"/>
                <w:bCs w:val="0"/>
                <w:highlight w:val="none"/>
                <w:lang w:eastAsia="zh-CN"/>
              </w:rPr>
            </w:pPr>
            <w:r>
              <w:rPr>
                <w:rFonts w:hint="eastAsia" w:ascii="Times New Roman" w:hAnsi="Times New Roman" w:cs="Times New Roman"/>
                <w:b w:val="0"/>
                <w:bCs w:val="0"/>
                <w:highlight w:val="none"/>
                <w:lang w:val="en-US" w:eastAsia="zh-CN"/>
              </w:rPr>
              <w:t>（4）现有项目污染物排放情况</w:t>
            </w:r>
          </w:p>
          <w:p w14:paraId="3FAE5B8C">
            <w:pPr>
              <w:pStyle w:val="2"/>
              <w:spacing w:after="0"/>
              <w:ind w:left="0" w:leftChars="0" w:firstLine="480"/>
              <w:rPr>
                <w:rFonts w:hint="default" w:ascii="Times New Roman" w:hAnsi="Times New Roman" w:eastAsia="宋体" w:cs="Times New Roman"/>
                <w:bCs/>
                <w:sz w:val="24"/>
                <w:szCs w:val="24"/>
                <w:highlight w:val="none"/>
                <w:lang w:eastAsia="zh-CN"/>
              </w:rPr>
            </w:pPr>
            <w:r>
              <w:rPr>
                <w:rFonts w:hint="eastAsia" w:ascii="Times New Roman" w:hAnsi="Times New Roman" w:eastAsia="宋体" w:cs="Times New Roman"/>
                <w:bCs/>
                <w:color w:val="auto"/>
                <w:sz w:val="24"/>
                <w:szCs w:val="24"/>
                <w:highlight w:val="none"/>
                <w:lang w:eastAsia="zh-CN"/>
              </w:rPr>
              <w:t>根据《泉州市隆泰服装印花有限公司迁扩建项目</w:t>
            </w:r>
            <w:r>
              <w:rPr>
                <w:rFonts w:hint="eastAsia" w:cs="Times New Roman"/>
                <w:bCs/>
                <w:color w:val="auto"/>
                <w:sz w:val="24"/>
                <w:szCs w:val="24"/>
                <w:highlight w:val="none"/>
                <w:lang w:eastAsia="zh-CN"/>
              </w:rPr>
              <w:t>竣工环境保护验收监测表</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val="0"/>
                <w:color w:val="auto"/>
                <w:kern w:val="0"/>
                <w:sz w:val="24"/>
                <w:szCs w:val="24"/>
                <w:highlight w:val="none"/>
                <w:lang w:val="en-US" w:eastAsia="zh-CN"/>
              </w:rPr>
              <w:t>（泉鲤环</w:t>
            </w:r>
            <w:r>
              <w:rPr>
                <w:rFonts w:hint="eastAsia" w:cs="Times New Roman"/>
                <w:bCs w:val="0"/>
                <w:color w:val="auto"/>
                <w:kern w:val="0"/>
                <w:sz w:val="24"/>
                <w:szCs w:val="24"/>
                <w:highlight w:val="none"/>
                <w:lang w:val="en-US" w:eastAsia="zh-CN"/>
              </w:rPr>
              <w:t>站</w:t>
            </w:r>
            <w:r>
              <w:rPr>
                <w:rFonts w:hint="default" w:ascii="Times New Roman" w:hAnsi="Times New Roman" w:eastAsia="宋体" w:cs="Times New Roman"/>
                <w:bCs w:val="0"/>
                <w:color w:val="auto"/>
                <w:kern w:val="0"/>
                <w:sz w:val="24"/>
                <w:szCs w:val="24"/>
                <w:highlight w:val="none"/>
                <w:lang w:val="en-US" w:eastAsia="zh-CN"/>
              </w:rPr>
              <w:t>验</w:t>
            </w:r>
            <w:r>
              <w:rPr>
                <w:rFonts w:hint="eastAsia" w:cs="Times New Roman"/>
                <w:bCs w:val="0"/>
                <w:color w:val="auto"/>
                <w:kern w:val="0"/>
                <w:sz w:val="24"/>
                <w:szCs w:val="24"/>
                <w:highlight w:val="none"/>
                <w:lang w:val="en-US" w:eastAsia="zh-CN"/>
              </w:rPr>
              <w:t>[</w:t>
            </w:r>
            <w:r>
              <w:rPr>
                <w:rFonts w:hint="default" w:ascii="Times New Roman" w:hAnsi="Times New Roman" w:eastAsia="宋体" w:cs="Times New Roman"/>
                <w:bCs w:val="0"/>
                <w:color w:val="auto"/>
                <w:kern w:val="0"/>
                <w:sz w:val="24"/>
                <w:szCs w:val="24"/>
                <w:highlight w:val="none"/>
                <w:lang w:val="en-US" w:eastAsia="zh-CN"/>
              </w:rPr>
              <w:t>2011</w:t>
            </w:r>
            <w:r>
              <w:rPr>
                <w:rFonts w:hint="eastAsia" w:cs="Times New Roman"/>
                <w:bCs w:val="0"/>
                <w:color w:val="auto"/>
                <w:kern w:val="0"/>
                <w:sz w:val="24"/>
                <w:szCs w:val="24"/>
                <w:highlight w:val="none"/>
                <w:lang w:val="en-US" w:eastAsia="zh-CN"/>
              </w:rPr>
              <w:t>]27</w:t>
            </w:r>
            <w:r>
              <w:rPr>
                <w:rFonts w:hint="default" w:ascii="Times New Roman" w:hAnsi="Times New Roman" w:eastAsia="宋体" w:cs="Times New Roman"/>
                <w:bCs w:val="0"/>
                <w:color w:val="auto"/>
                <w:kern w:val="0"/>
                <w:sz w:val="24"/>
                <w:szCs w:val="24"/>
                <w:highlight w:val="none"/>
                <w:lang w:val="en-US" w:eastAsia="zh-CN"/>
              </w:rPr>
              <w:t>号）</w:t>
            </w:r>
            <w:r>
              <w:rPr>
                <w:rFonts w:hint="eastAsia" w:ascii="Times New Roman" w:hAnsi="Times New Roman" w:cs="Times New Roman"/>
                <w:b w:val="0"/>
                <w:bCs w:val="0"/>
                <w:sz w:val="24"/>
                <w:highlight w:val="none"/>
                <w:lang w:val="en-US" w:eastAsia="zh-CN"/>
              </w:rPr>
              <w:t>，现有</w:t>
            </w:r>
            <w:r>
              <w:rPr>
                <w:rFonts w:hint="default" w:ascii="Times New Roman" w:hAnsi="Times New Roman" w:cs="Times New Roman"/>
                <w:b w:val="0"/>
                <w:bCs w:val="0"/>
                <w:sz w:val="24"/>
                <w:highlight w:val="none"/>
                <w:lang w:val="en-US" w:eastAsia="zh-CN"/>
              </w:rPr>
              <w:t>项目</w:t>
            </w:r>
            <w:r>
              <w:rPr>
                <w:rFonts w:hint="eastAsia" w:ascii="Times New Roman" w:hAnsi="Times New Roman" w:cs="Times New Roman"/>
                <w:b w:val="0"/>
                <w:bCs w:val="0"/>
                <w:sz w:val="24"/>
                <w:highlight w:val="none"/>
                <w:lang w:val="en-US" w:eastAsia="zh-CN"/>
              </w:rPr>
              <w:t>废气、</w:t>
            </w:r>
            <w:r>
              <w:rPr>
                <w:rFonts w:hint="default" w:ascii="Times New Roman" w:hAnsi="Times New Roman" w:eastAsia="宋体" w:cs="Times New Roman"/>
                <w:b w:val="0"/>
                <w:bCs/>
                <w:kern w:val="2"/>
                <w:sz w:val="24"/>
                <w:szCs w:val="24"/>
                <w:highlight w:val="none"/>
                <w:lang w:val="en-US" w:eastAsia="zh-CN" w:bidi="ar-SA"/>
              </w:rPr>
              <w:t>废水、厂界噪声均可达标排放</w:t>
            </w:r>
            <w:r>
              <w:rPr>
                <w:rFonts w:hint="eastAsia" w:ascii="Times New Roman" w:hAnsi="Times New Roman" w:eastAsia="宋体" w:cs="Times New Roman"/>
                <w:b w:val="0"/>
                <w:bCs/>
                <w:kern w:val="2"/>
                <w:sz w:val="24"/>
                <w:szCs w:val="24"/>
                <w:highlight w:val="none"/>
                <w:lang w:val="en-US" w:eastAsia="zh-CN" w:bidi="ar-SA"/>
              </w:rPr>
              <w:t>，固体废物均按要求妥善处置</w:t>
            </w:r>
            <w:r>
              <w:rPr>
                <w:rFonts w:hint="default" w:ascii="Times New Roman" w:hAnsi="Times New Roman" w:eastAsia="宋体" w:cs="Times New Roman"/>
                <w:b w:val="0"/>
                <w:bCs/>
                <w:kern w:val="2"/>
                <w:sz w:val="24"/>
                <w:szCs w:val="24"/>
                <w:highlight w:val="none"/>
                <w:lang w:val="en-US" w:eastAsia="zh-CN" w:bidi="ar-SA"/>
              </w:rPr>
              <w:t>。</w:t>
            </w:r>
          </w:p>
          <w:p w14:paraId="46A39CF2">
            <w:pPr>
              <w:pStyle w:val="2"/>
              <w:spacing w:after="0"/>
              <w:ind w:left="0" w:leftChars="0" w:firstLine="480"/>
              <w:rPr>
                <w:rFonts w:hint="default" w:ascii="Times New Roman" w:hAnsi="Times New Roman" w:eastAsia="宋体" w:cs="Times New Roman"/>
                <w:bCs/>
                <w:sz w:val="24"/>
                <w:szCs w:val="24"/>
                <w:highlight w:val="none"/>
                <w:lang w:eastAsia="zh-CN"/>
              </w:rPr>
            </w:pPr>
            <w:r>
              <w:rPr>
                <w:rFonts w:hint="eastAsia" w:ascii="Times New Roman" w:hAnsi="Times New Roman" w:eastAsia="宋体" w:cs="Times New Roman"/>
                <w:bCs/>
                <w:sz w:val="24"/>
                <w:szCs w:val="24"/>
                <w:highlight w:val="none"/>
                <w:lang w:eastAsia="zh-CN"/>
              </w:rPr>
              <w:t>①废水</w:t>
            </w:r>
          </w:p>
          <w:p w14:paraId="3A05A9AF">
            <w:pPr>
              <w:pStyle w:val="2"/>
              <w:spacing w:after="0"/>
              <w:ind w:left="0" w:leftChars="0"/>
              <w:rPr>
                <w:rFonts w:hint="default" w:ascii="Times New Roman" w:hAnsi="Times New Roman" w:cs="Times New Roman"/>
                <w:sz w:val="24"/>
                <w:highlight w:val="none"/>
                <w:lang w:eastAsia="zh-CN"/>
              </w:rPr>
            </w:pPr>
            <w:r>
              <w:rPr>
                <w:rFonts w:hint="default" w:ascii="Times New Roman" w:hAnsi="Times New Roman" w:eastAsia="宋体" w:cs="Times New Roman"/>
                <w:color w:val="000000"/>
                <w:sz w:val="24"/>
                <w:szCs w:val="24"/>
                <w:highlight w:val="none"/>
                <w:lang w:val="en-US" w:eastAsia="zh-CN"/>
              </w:rPr>
              <w:t>项目</w:t>
            </w:r>
            <w:r>
              <w:rPr>
                <w:rFonts w:hint="eastAsia" w:ascii="Times New Roman" w:hAnsi="Times New Roman" w:eastAsia="宋体" w:cs="Times New Roman"/>
                <w:color w:val="000000"/>
                <w:sz w:val="24"/>
                <w:szCs w:val="24"/>
                <w:highlight w:val="none"/>
                <w:lang w:val="en-US" w:eastAsia="zh-CN"/>
              </w:rPr>
              <w:t>废</w:t>
            </w:r>
            <w:r>
              <w:rPr>
                <w:rFonts w:hint="default" w:ascii="Times New Roman" w:hAnsi="Times New Roman" w:eastAsia="宋体" w:cs="Times New Roman"/>
                <w:color w:val="000000"/>
                <w:sz w:val="24"/>
                <w:szCs w:val="24"/>
                <w:highlight w:val="none"/>
                <w:lang w:val="en-US" w:eastAsia="zh-CN"/>
              </w:rPr>
              <w:t>水主要</w:t>
            </w:r>
            <w:r>
              <w:rPr>
                <w:rFonts w:hint="eastAsia" w:ascii="Times New Roman" w:hAnsi="Times New Roman" w:eastAsia="宋体" w:cs="Times New Roman"/>
                <w:color w:val="000000"/>
                <w:sz w:val="24"/>
                <w:szCs w:val="24"/>
                <w:highlight w:val="none"/>
                <w:lang w:val="en-US" w:eastAsia="zh-CN"/>
              </w:rPr>
              <w:t>为生产</w:t>
            </w:r>
            <w:r>
              <w:rPr>
                <w:rFonts w:hint="eastAsia" w:cs="Times New Roman"/>
                <w:color w:val="auto"/>
                <w:sz w:val="24"/>
                <w:szCs w:val="24"/>
                <w:highlight w:val="none"/>
                <w:lang w:val="en-US" w:eastAsia="zh-CN"/>
              </w:rPr>
              <w:t>废水</w:t>
            </w:r>
            <w:r>
              <w:rPr>
                <w:rFonts w:hint="default" w:ascii="Times New Roman" w:hAnsi="Times New Roman" w:eastAsia="宋体" w:cs="Times New Roman"/>
                <w:color w:val="000000"/>
                <w:sz w:val="24"/>
                <w:szCs w:val="24"/>
                <w:highlight w:val="none"/>
                <w:lang w:val="en-US" w:eastAsia="zh-CN"/>
              </w:rPr>
              <w:t>和生活</w:t>
            </w:r>
            <w:r>
              <w:rPr>
                <w:rFonts w:hint="eastAsia" w:ascii="Times New Roman" w:hAnsi="Times New Roman" w:eastAsia="宋体" w:cs="Times New Roman"/>
                <w:color w:val="000000"/>
                <w:sz w:val="24"/>
                <w:szCs w:val="24"/>
                <w:highlight w:val="none"/>
                <w:lang w:val="en-US" w:eastAsia="zh-CN"/>
              </w:rPr>
              <w:t>污</w:t>
            </w:r>
            <w:r>
              <w:rPr>
                <w:rFonts w:hint="default" w:ascii="Times New Roman" w:hAnsi="Times New Roman" w:eastAsia="宋体" w:cs="Times New Roman"/>
                <w:color w:val="000000"/>
                <w:sz w:val="24"/>
                <w:szCs w:val="24"/>
                <w:highlight w:val="none"/>
                <w:lang w:val="en-US" w:eastAsia="zh-CN"/>
              </w:rPr>
              <w:t>水。</w:t>
            </w:r>
            <w:r>
              <w:rPr>
                <w:rFonts w:hint="eastAsia" w:ascii="Times New Roman" w:hAnsi="Times New Roman" w:eastAsia="宋体" w:cs="Times New Roman"/>
                <w:color w:val="000000"/>
                <w:sz w:val="24"/>
                <w:szCs w:val="24"/>
                <w:highlight w:val="none"/>
                <w:lang w:val="en-US" w:eastAsia="zh-CN"/>
              </w:rPr>
              <w:t>生产废水产生量为810吨/年，生活废水产生量为2160吨/年</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生产废水采用“去色混凝沉淀处理工艺”方法处理，生活污水经化粪池预处理。</w:t>
            </w:r>
            <w:r>
              <w:rPr>
                <w:rFonts w:hint="eastAsia" w:ascii="Times New Roman" w:hAnsi="Times New Roman" w:eastAsia="宋体" w:cs="Times New Roman"/>
                <w:color w:val="auto"/>
                <w:sz w:val="24"/>
                <w:szCs w:val="24"/>
                <w:highlight w:val="none"/>
                <w:lang w:eastAsia="zh-CN"/>
              </w:rPr>
              <w:t>处理达标后废水通过市政污水管网纳入晋江仙石污水处理厂统一处理。根据竣工环保验收报告中的监测结果，项目生活污水排放符合</w:t>
            </w:r>
            <w:r>
              <w:rPr>
                <w:rFonts w:hint="eastAsia" w:cs="Times New Roman"/>
                <w:spacing w:val="0"/>
                <w:position w:val="0"/>
                <w:sz w:val="24"/>
                <w:szCs w:val="24"/>
                <w:highlight w:val="none"/>
                <w:lang w:eastAsia="zh-CN"/>
              </w:rPr>
              <w:t>晋江仙石</w:t>
            </w:r>
            <w:r>
              <w:rPr>
                <w:rFonts w:hint="default" w:ascii="Times New Roman" w:hAnsi="Times New Roman" w:eastAsia="宋体" w:cs="Times New Roman"/>
                <w:spacing w:val="0"/>
                <w:position w:val="0"/>
                <w:sz w:val="24"/>
                <w:szCs w:val="24"/>
                <w:highlight w:val="none"/>
              </w:rPr>
              <w:t>污水处理厂</w:t>
            </w:r>
            <w:r>
              <w:rPr>
                <w:rFonts w:hint="default" w:ascii="Times New Roman" w:hAnsi="Times New Roman" w:eastAsia="宋体" w:cs="Times New Roman"/>
                <w:color w:val="000000"/>
                <w:kern w:val="0"/>
                <w:sz w:val="24"/>
                <w:szCs w:val="24"/>
                <w:highlight w:val="none"/>
                <w:lang w:val="en-US" w:eastAsia="zh-CN" w:bidi="ar"/>
              </w:rPr>
              <w:t>设计进水水质要求</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cs="Times New Roman"/>
                <w:color w:val="auto"/>
                <w:sz w:val="24"/>
                <w:highlight w:val="none"/>
                <w:lang w:val="en-US" w:eastAsia="zh-CN"/>
              </w:rPr>
              <w:t>具体见</w:t>
            </w:r>
            <w:r>
              <w:rPr>
                <w:rFonts w:hint="eastAsia" w:ascii="Times New Roman" w:hAnsi="Times New Roman" w:cs="Times New Roman"/>
                <w:color w:val="auto"/>
                <w:sz w:val="24"/>
                <w:highlight w:val="none"/>
                <w:lang w:val="en-US" w:eastAsia="zh-CN"/>
              </w:rPr>
              <w:t>下</w:t>
            </w:r>
            <w:r>
              <w:rPr>
                <w:rFonts w:hint="default" w:ascii="Times New Roman" w:hAnsi="Times New Roman" w:cs="Times New Roman"/>
                <w:color w:val="auto"/>
                <w:sz w:val="24"/>
                <w:highlight w:val="none"/>
              </w:rPr>
              <w:t>表。</w:t>
            </w:r>
          </w:p>
          <w:p w14:paraId="1DF5F74B">
            <w:pPr>
              <w:pStyle w:val="2"/>
              <w:spacing w:after="0" w:line="240" w:lineRule="auto"/>
              <w:ind w:left="0" w:leftChars="0"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b/>
                <w:bCs w:val="0"/>
                <w:color w:val="auto"/>
                <w:sz w:val="24"/>
                <w:szCs w:val="24"/>
                <w:highlight w:val="none"/>
                <w:lang w:val="en-US" w:eastAsia="zh-CN"/>
              </w:rPr>
              <w:t>表</w:t>
            </w:r>
            <w:r>
              <w:rPr>
                <w:rFonts w:hint="eastAsia"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w:t>
            </w:r>
            <w:r>
              <w:rPr>
                <w:rFonts w:hint="eastAsia" w:ascii="Times New Roman" w:hAnsi="Times New Roman" w:eastAsia="宋体" w:cs="Times New Roman"/>
                <w:b/>
                <w:bCs w:val="0"/>
                <w:color w:val="auto"/>
                <w:sz w:val="24"/>
                <w:szCs w:val="24"/>
                <w:highlight w:val="none"/>
                <w:lang w:val="en-US" w:eastAsia="zh-CN"/>
              </w:rPr>
              <w:t>7</w:t>
            </w:r>
            <w:r>
              <w:rPr>
                <w:rFonts w:hint="default" w:ascii="Times New Roman" w:hAnsi="Times New Roman" w:eastAsia="宋体" w:cs="Times New Roman"/>
                <w:b/>
                <w:bCs w:val="0"/>
                <w:color w:val="auto"/>
                <w:sz w:val="24"/>
                <w:szCs w:val="24"/>
                <w:highlight w:val="none"/>
                <w:lang w:val="en-US" w:eastAsia="zh-CN"/>
              </w:rPr>
              <w:t xml:space="preserve"> </w:t>
            </w:r>
            <w:r>
              <w:rPr>
                <w:rFonts w:hint="default" w:ascii="Times New Roman" w:hAnsi="Times New Roman" w:eastAsia="宋体" w:cs="Times New Roman"/>
                <w:b/>
                <w:bCs w:val="0"/>
                <w:sz w:val="24"/>
                <w:szCs w:val="24"/>
                <w:highlight w:val="none"/>
                <w:lang w:eastAsia="zh-CN"/>
              </w:rPr>
              <w:t>废水</w:t>
            </w:r>
            <w:r>
              <w:rPr>
                <w:rFonts w:hint="default" w:ascii="Times New Roman" w:hAnsi="Times New Roman" w:eastAsia="宋体" w:cs="Times New Roman"/>
                <w:b/>
                <w:bCs w:val="0"/>
                <w:color w:val="auto"/>
                <w:sz w:val="24"/>
                <w:szCs w:val="24"/>
                <w:highlight w:val="none"/>
              </w:rPr>
              <w:t>监测结果一览表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23"/>
              <w:gridCol w:w="2059"/>
              <w:gridCol w:w="586"/>
              <w:gridCol w:w="603"/>
              <w:gridCol w:w="595"/>
              <w:gridCol w:w="595"/>
              <w:gridCol w:w="1085"/>
              <w:gridCol w:w="711"/>
            </w:tblGrid>
            <w:tr w14:paraId="2DDD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tcBorders>
                    <w:top w:val="single" w:color="auto" w:sz="12" w:space="0"/>
                    <w:left w:val="nil"/>
                  </w:tcBorders>
                  <w:noWrap w:val="0"/>
                  <w:vAlign w:val="center"/>
                </w:tcPr>
                <w:p w14:paraId="2FA55DAD">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监测</w:t>
                  </w:r>
                </w:p>
                <w:p w14:paraId="007DC994">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日期</w:t>
                  </w:r>
                </w:p>
              </w:tc>
              <w:tc>
                <w:tcPr>
                  <w:tcW w:w="923" w:type="dxa"/>
                  <w:tcBorders>
                    <w:top w:val="single" w:color="auto" w:sz="12" w:space="0"/>
                  </w:tcBorders>
                  <w:noWrap w:val="0"/>
                  <w:vAlign w:val="center"/>
                </w:tcPr>
                <w:p w14:paraId="2E4EFF8C">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监测</w:t>
                  </w:r>
                </w:p>
                <w:p w14:paraId="4490E294">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点位</w:t>
                  </w:r>
                </w:p>
              </w:tc>
              <w:tc>
                <w:tcPr>
                  <w:tcW w:w="2059" w:type="dxa"/>
                  <w:tcBorders>
                    <w:top w:val="single" w:color="auto" w:sz="12" w:space="0"/>
                    <w:tl2br w:val="single" w:color="auto" w:sz="4" w:space="0"/>
                  </w:tcBorders>
                  <w:noWrap w:val="0"/>
                  <w:vAlign w:val="center"/>
                </w:tcPr>
                <w:p w14:paraId="57AB6772">
                  <w:pPr>
                    <w:spacing w:before="62" w:beforeLines="20" w:after="62" w:afterLines="20" w:line="0" w:lineRule="atLeast"/>
                    <w:jc w:val="right"/>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监测频次</w:t>
                  </w:r>
                </w:p>
                <w:p w14:paraId="3A760E6A">
                  <w:pPr>
                    <w:spacing w:before="62" w:beforeLines="20" w:after="62" w:afterLines="20" w:line="0" w:lineRule="atLeast"/>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监测项目</w:t>
                  </w:r>
                </w:p>
              </w:tc>
              <w:tc>
                <w:tcPr>
                  <w:tcW w:w="586" w:type="dxa"/>
                  <w:tcBorders>
                    <w:top w:val="single" w:color="auto" w:sz="12" w:space="0"/>
                  </w:tcBorders>
                  <w:noWrap w:val="0"/>
                  <w:vAlign w:val="center"/>
                </w:tcPr>
                <w:p w14:paraId="78E80175">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1</w:t>
                  </w:r>
                </w:p>
              </w:tc>
              <w:tc>
                <w:tcPr>
                  <w:tcW w:w="603" w:type="dxa"/>
                  <w:tcBorders>
                    <w:top w:val="single" w:color="auto" w:sz="12" w:space="0"/>
                  </w:tcBorders>
                  <w:noWrap w:val="0"/>
                  <w:vAlign w:val="center"/>
                </w:tcPr>
                <w:p w14:paraId="1B0FCED4">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2</w:t>
                  </w:r>
                </w:p>
              </w:tc>
              <w:tc>
                <w:tcPr>
                  <w:tcW w:w="595" w:type="dxa"/>
                  <w:tcBorders>
                    <w:top w:val="single" w:color="auto" w:sz="12" w:space="0"/>
                  </w:tcBorders>
                  <w:noWrap w:val="0"/>
                  <w:vAlign w:val="center"/>
                </w:tcPr>
                <w:p w14:paraId="5FA9A96A">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3</w:t>
                  </w:r>
                </w:p>
              </w:tc>
              <w:tc>
                <w:tcPr>
                  <w:tcW w:w="595" w:type="dxa"/>
                  <w:tcBorders>
                    <w:top w:val="single" w:color="auto" w:sz="12" w:space="0"/>
                  </w:tcBorders>
                  <w:noWrap w:val="0"/>
                  <w:vAlign w:val="center"/>
                </w:tcPr>
                <w:p w14:paraId="1B417493">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4</w:t>
                  </w:r>
                </w:p>
              </w:tc>
              <w:tc>
                <w:tcPr>
                  <w:tcW w:w="1085" w:type="dxa"/>
                  <w:tcBorders>
                    <w:top w:val="single" w:color="auto" w:sz="12" w:space="0"/>
                  </w:tcBorders>
                  <w:noWrap w:val="0"/>
                  <w:vAlign w:val="center"/>
                </w:tcPr>
                <w:p w14:paraId="1DCFE90C">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均值/  范围</w:t>
                  </w:r>
                </w:p>
              </w:tc>
              <w:tc>
                <w:tcPr>
                  <w:tcW w:w="711" w:type="dxa"/>
                  <w:tcBorders>
                    <w:top w:val="single" w:color="auto" w:sz="12" w:space="0"/>
                    <w:right w:val="nil"/>
                  </w:tcBorders>
                  <w:noWrap w:val="0"/>
                  <w:vAlign w:val="center"/>
                </w:tcPr>
                <w:p w14:paraId="70A69611">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标准</w:t>
                  </w:r>
                </w:p>
                <w:p w14:paraId="0355A4F2">
                  <w:pPr>
                    <w:spacing w:before="62" w:beforeLines="20" w:after="62" w:afterLines="20" w:line="0" w:lineRule="atLeast"/>
                    <w:jc w:val="center"/>
                    <w:rPr>
                      <w:rFonts w:hint="default" w:ascii="Times New Roman" w:hAnsi="Times New Roman" w:eastAsia="宋体" w:cs="Times New Roman"/>
                      <w:b w:val="0"/>
                      <w:bCs/>
                      <w:highlight w:val="none"/>
                    </w:rPr>
                  </w:pPr>
                  <w:r>
                    <w:rPr>
                      <w:rFonts w:hint="default" w:ascii="Times New Roman" w:hAnsi="Times New Roman" w:eastAsia="宋体" w:cs="Times New Roman"/>
                      <w:b w:val="0"/>
                      <w:bCs/>
                      <w:highlight w:val="none"/>
                    </w:rPr>
                    <w:t>限值</w:t>
                  </w:r>
                </w:p>
              </w:tc>
            </w:tr>
            <w:tr w14:paraId="7A67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restart"/>
                  <w:tcBorders>
                    <w:left w:val="nil"/>
                  </w:tcBorders>
                  <w:noWrap w:val="0"/>
                  <w:vAlign w:val="center"/>
                </w:tcPr>
                <w:p w14:paraId="60F0D325">
                  <w:pPr>
                    <w:spacing w:before="93" w:beforeLines="30" w:after="93" w:afterLines="30" w:line="0" w:lineRule="atLeast"/>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highlight w:val="none"/>
                    </w:rPr>
                    <w:t>20</w:t>
                  </w:r>
                  <w:r>
                    <w:rPr>
                      <w:rFonts w:hint="eastAsia" w:ascii="Times New Roman" w:hAnsi="Times New Roman" w:eastAsia="宋体" w:cs="Times New Roman"/>
                      <w:szCs w:val="21"/>
                      <w:highlight w:val="none"/>
                      <w:lang w:val="en-US" w:eastAsia="zh-CN"/>
                    </w:rPr>
                    <w:t>11</w:t>
                  </w:r>
                  <w:r>
                    <w:rPr>
                      <w:rFonts w:hint="default" w:ascii="Times New Roman" w:hAnsi="Times New Roman" w:eastAsia="宋体" w:cs="Times New Roman"/>
                      <w:szCs w:val="21"/>
                      <w:highlight w:val="none"/>
                    </w:rPr>
                    <w:t>.</w:t>
                  </w:r>
                  <w:r>
                    <w:rPr>
                      <w:rFonts w:hint="eastAsia" w:cs="Times New Roman"/>
                      <w:szCs w:val="21"/>
                      <w:highlight w:val="none"/>
                      <w:lang w:val="en-US" w:eastAsia="zh-CN"/>
                    </w:rPr>
                    <w:t>3</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22</w:t>
                  </w:r>
                </w:p>
              </w:tc>
              <w:tc>
                <w:tcPr>
                  <w:tcW w:w="923" w:type="dxa"/>
                  <w:vMerge w:val="restart"/>
                  <w:noWrap w:val="0"/>
                  <w:vAlign w:val="center"/>
                </w:tcPr>
                <w:p w14:paraId="5979A9D2">
                  <w:pPr>
                    <w:jc w:val="center"/>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污水处理设施进口</w:t>
                  </w:r>
                </w:p>
              </w:tc>
              <w:tc>
                <w:tcPr>
                  <w:tcW w:w="2059" w:type="dxa"/>
                  <w:noWrap w:val="0"/>
                  <w:vAlign w:val="center"/>
                </w:tcPr>
                <w:p w14:paraId="6BB7B8C9">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pH，无量纲</w:t>
                  </w:r>
                </w:p>
              </w:tc>
              <w:tc>
                <w:tcPr>
                  <w:tcW w:w="586" w:type="dxa"/>
                  <w:noWrap w:val="0"/>
                  <w:vAlign w:val="center"/>
                </w:tcPr>
                <w:p w14:paraId="2C15C482">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szCs w:val="21"/>
                      <w:highlight w:val="none"/>
                      <w:lang w:val="en-US" w:eastAsia="zh-CN"/>
                    </w:rPr>
                    <w:t>7.06</w:t>
                  </w:r>
                </w:p>
              </w:tc>
              <w:tc>
                <w:tcPr>
                  <w:tcW w:w="603" w:type="dxa"/>
                  <w:noWrap w:val="0"/>
                  <w:vAlign w:val="center"/>
                </w:tcPr>
                <w:p w14:paraId="43EC14F4">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szCs w:val="21"/>
                      <w:highlight w:val="none"/>
                      <w:lang w:val="en-US" w:eastAsia="zh-CN"/>
                    </w:rPr>
                    <w:t>7.12</w:t>
                  </w:r>
                </w:p>
              </w:tc>
              <w:tc>
                <w:tcPr>
                  <w:tcW w:w="595" w:type="dxa"/>
                  <w:noWrap w:val="0"/>
                  <w:vAlign w:val="center"/>
                </w:tcPr>
                <w:p w14:paraId="53FBAAE1">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szCs w:val="21"/>
                      <w:highlight w:val="none"/>
                      <w:lang w:val="en-US" w:eastAsia="zh-CN"/>
                    </w:rPr>
                    <w:t>7.09</w:t>
                  </w:r>
                </w:p>
              </w:tc>
              <w:tc>
                <w:tcPr>
                  <w:tcW w:w="595" w:type="dxa"/>
                  <w:noWrap w:val="0"/>
                  <w:vAlign w:val="center"/>
                </w:tcPr>
                <w:p w14:paraId="47847BFE">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szCs w:val="21"/>
                      <w:highlight w:val="none"/>
                      <w:lang w:val="en-US" w:eastAsia="zh-CN"/>
                    </w:rPr>
                    <w:t>7.14</w:t>
                  </w:r>
                </w:p>
              </w:tc>
              <w:tc>
                <w:tcPr>
                  <w:tcW w:w="1085" w:type="dxa"/>
                  <w:noWrap w:val="0"/>
                  <w:vAlign w:val="center"/>
                </w:tcPr>
                <w:p w14:paraId="070BA7AD">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szCs w:val="21"/>
                      <w:highlight w:val="none"/>
                      <w:lang w:val="en-US" w:eastAsia="zh-CN"/>
                    </w:rPr>
                    <w:t>7.06~7.14</w:t>
                  </w:r>
                </w:p>
              </w:tc>
              <w:tc>
                <w:tcPr>
                  <w:tcW w:w="711" w:type="dxa"/>
                  <w:tcBorders>
                    <w:right w:val="nil"/>
                  </w:tcBorders>
                  <w:noWrap w:val="0"/>
                  <w:vAlign w:val="center"/>
                </w:tcPr>
                <w:p w14:paraId="255BDC21">
                  <w:pPr>
                    <w:spacing w:line="0" w:lineRule="atLeast"/>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w:t>
                  </w:r>
                </w:p>
              </w:tc>
            </w:tr>
            <w:tr w14:paraId="4B1D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56D7CBED">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5B4ED2CE">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1ED4D1A6">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悬浮物，mg/L</w:t>
                  </w:r>
                </w:p>
              </w:tc>
              <w:tc>
                <w:tcPr>
                  <w:tcW w:w="586" w:type="dxa"/>
                  <w:noWrap w:val="0"/>
                  <w:vAlign w:val="center"/>
                </w:tcPr>
                <w:p w14:paraId="1AC81372">
                  <w:pPr>
                    <w:widowControl/>
                    <w:jc w:val="center"/>
                    <w:textAlignment w:val="center"/>
                    <w:rPr>
                      <w:rFonts w:hint="default" w:ascii="Times New Roman" w:hAnsi="Times New Roman" w:eastAsia="宋体" w:cs="Times New Roman"/>
                      <w:color w:val="auto"/>
                      <w:sz w:val="21"/>
                      <w:szCs w:val="21"/>
                      <w:highlight w:val="none"/>
                      <w:lang w:val="en-US"/>
                    </w:rPr>
                  </w:pPr>
                  <w:r>
                    <w:rPr>
                      <w:rFonts w:hint="eastAsia"/>
                      <w:szCs w:val="21"/>
                      <w:highlight w:val="none"/>
                      <w:lang w:val="en-US" w:eastAsia="zh-CN"/>
                    </w:rPr>
                    <w:t>89</w:t>
                  </w:r>
                </w:p>
              </w:tc>
              <w:tc>
                <w:tcPr>
                  <w:tcW w:w="603" w:type="dxa"/>
                  <w:noWrap w:val="0"/>
                  <w:vAlign w:val="center"/>
                </w:tcPr>
                <w:p w14:paraId="016E607D">
                  <w:pPr>
                    <w:widowControl/>
                    <w:jc w:val="center"/>
                    <w:textAlignment w:val="center"/>
                    <w:rPr>
                      <w:rFonts w:hint="default" w:ascii="Times New Roman" w:hAnsi="Times New Roman" w:eastAsia="宋体" w:cs="Times New Roman"/>
                      <w:color w:val="auto"/>
                      <w:sz w:val="21"/>
                      <w:szCs w:val="21"/>
                      <w:highlight w:val="none"/>
                      <w:lang w:val="en-US"/>
                    </w:rPr>
                  </w:pPr>
                  <w:r>
                    <w:rPr>
                      <w:rFonts w:hint="eastAsia"/>
                      <w:szCs w:val="21"/>
                      <w:highlight w:val="none"/>
                      <w:lang w:val="en-US" w:eastAsia="zh-CN"/>
                    </w:rPr>
                    <w:t>73</w:t>
                  </w:r>
                </w:p>
              </w:tc>
              <w:tc>
                <w:tcPr>
                  <w:tcW w:w="595" w:type="dxa"/>
                  <w:noWrap w:val="0"/>
                  <w:vAlign w:val="center"/>
                </w:tcPr>
                <w:p w14:paraId="23999D66">
                  <w:pPr>
                    <w:widowControl/>
                    <w:jc w:val="center"/>
                    <w:textAlignment w:val="center"/>
                    <w:rPr>
                      <w:rFonts w:hint="default" w:ascii="Times New Roman" w:hAnsi="Times New Roman" w:eastAsia="宋体" w:cs="Times New Roman"/>
                      <w:color w:val="auto"/>
                      <w:sz w:val="21"/>
                      <w:szCs w:val="21"/>
                      <w:highlight w:val="none"/>
                      <w:lang w:val="en-US"/>
                    </w:rPr>
                  </w:pPr>
                  <w:r>
                    <w:rPr>
                      <w:rFonts w:hint="eastAsia"/>
                      <w:szCs w:val="21"/>
                      <w:highlight w:val="none"/>
                      <w:lang w:val="en-US" w:eastAsia="zh-CN"/>
                    </w:rPr>
                    <w:t>82</w:t>
                  </w:r>
                </w:p>
              </w:tc>
              <w:tc>
                <w:tcPr>
                  <w:tcW w:w="595" w:type="dxa"/>
                  <w:noWrap w:val="0"/>
                  <w:vAlign w:val="center"/>
                </w:tcPr>
                <w:p w14:paraId="3A173084">
                  <w:pPr>
                    <w:widowControl/>
                    <w:jc w:val="center"/>
                    <w:textAlignment w:val="center"/>
                    <w:rPr>
                      <w:rFonts w:hint="default" w:ascii="Times New Roman" w:hAnsi="Times New Roman" w:eastAsia="宋体" w:cs="Times New Roman"/>
                      <w:color w:val="auto"/>
                      <w:sz w:val="21"/>
                      <w:szCs w:val="21"/>
                      <w:highlight w:val="none"/>
                      <w:lang w:val="en-US"/>
                    </w:rPr>
                  </w:pPr>
                  <w:r>
                    <w:rPr>
                      <w:rFonts w:hint="eastAsia"/>
                      <w:szCs w:val="21"/>
                      <w:highlight w:val="none"/>
                      <w:lang w:val="en-US" w:eastAsia="zh-CN"/>
                    </w:rPr>
                    <w:t>95</w:t>
                  </w:r>
                </w:p>
              </w:tc>
              <w:tc>
                <w:tcPr>
                  <w:tcW w:w="1085" w:type="dxa"/>
                  <w:noWrap w:val="0"/>
                  <w:vAlign w:val="center"/>
                </w:tcPr>
                <w:p w14:paraId="2AD86600">
                  <w:pPr>
                    <w:widowControl/>
                    <w:jc w:val="center"/>
                    <w:textAlignment w:val="center"/>
                    <w:rPr>
                      <w:rFonts w:hint="default" w:ascii="Times New Roman" w:hAnsi="Times New Roman" w:eastAsia="宋体" w:cs="Times New Roman"/>
                      <w:color w:val="auto"/>
                      <w:sz w:val="21"/>
                      <w:szCs w:val="21"/>
                      <w:highlight w:val="none"/>
                      <w:lang w:val="en-US"/>
                    </w:rPr>
                  </w:pPr>
                  <w:r>
                    <w:rPr>
                      <w:rFonts w:hint="eastAsia" w:eastAsia="宋体"/>
                      <w:kern w:val="2"/>
                      <w:sz w:val="21"/>
                      <w:szCs w:val="21"/>
                      <w:highlight w:val="none"/>
                      <w:lang w:val="en-US" w:eastAsia="zh-CN" w:bidi="ar-SA"/>
                    </w:rPr>
                    <w:t>85</w:t>
                  </w:r>
                </w:p>
              </w:tc>
              <w:tc>
                <w:tcPr>
                  <w:tcW w:w="711" w:type="dxa"/>
                  <w:tcBorders>
                    <w:right w:val="nil"/>
                  </w:tcBorders>
                  <w:noWrap w:val="0"/>
                  <w:vAlign w:val="center"/>
                </w:tcPr>
                <w:p w14:paraId="516C544E">
                  <w:pPr>
                    <w:spacing w:line="0" w:lineRule="atLeast"/>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w:t>
                  </w:r>
                </w:p>
              </w:tc>
            </w:tr>
            <w:tr w14:paraId="04D0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037740F1">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44A7B5D9">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6E9A8B92">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化学需氧量，mg/L</w:t>
                  </w:r>
                </w:p>
              </w:tc>
              <w:tc>
                <w:tcPr>
                  <w:tcW w:w="586" w:type="dxa"/>
                  <w:noWrap w:val="0"/>
                  <w:vAlign w:val="center"/>
                </w:tcPr>
                <w:p w14:paraId="1191DAC4">
                  <w:pPr>
                    <w:widowControl/>
                    <w:jc w:val="center"/>
                    <w:textAlignment w:val="center"/>
                    <w:rPr>
                      <w:rFonts w:hint="default" w:ascii="Times New Roman" w:hAnsi="Times New Roman" w:eastAsia="宋体" w:cs="Times New Roman"/>
                      <w:color w:val="auto"/>
                      <w:sz w:val="21"/>
                      <w:szCs w:val="21"/>
                      <w:highlight w:val="none"/>
                      <w:lang w:val="en-US"/>
                    </w:rPr>
                  </w:pPr>
                  <w:r>
                    <w:rPr>
                      <w:rFonts w:hint="eastAsia"/>
                      <w:szCs w:val="21"/>
                      <w:highlight w:val="none"/>
                      <w:lang w:val="en-US" w:eastAsia="zh-CN"/>
                    </w:rPr>
                    <w:t>304</w:t>
                  </w:r>
                </w:p>
              </w:tc>
              <w:tc>
                <w:tcPr>
                  <w:tcW w:w="603" w:type="dxa"/>
                  <w:noWrap w:val="0"/>
                  <w:vAlign w:val="center"/>
                </w:tcPr>
                <w:p w14:paraId="09A8A2A6">
                  <w:pPr>
                    <w:widowControl/>
                    <w:jc w:val="center"/>
                    <w:textAlignment w:val="center"/>
                    <w:rPr>
                      <w:rFonts w:hint="default" w:ascii="Times New Roman" w:hAnsi="Times New Roman" w:eastAsia="宋体" w:cs="Times New Roman"/>
                      <w:color w:val="auto"/>
                      <w:sz w:val="21"/>
                      <w:szCs w:val="21"/>
                      <w:highlight w:val="none"/>
                      <w:lang w:val="en-US"/>
                    </w:rPr>
                  </w:pPr>
                  <w:r>
                    <w:rPr>
                      <w:rFonts w:hint="eastAsia"/>
                      <w:szCs w:val="21"/>
                      <w:highlight w:val="none"/>
                      <w:lang w:val="en-US" w:eastAsia="zh-CN"/>
                    </w:rPr>
                    <w:t>317</w:t>
                  </w:r>
                </w:p>
              </w:tc>
              <w:tc>
                <w:tcPr>
                  <w:tcW w:w="595" w:type="dxa"/>
                  <w:noWrap w:val="0"/>
                  <w:vAlign w:val="center"/>
                </w:tcPr>
                <w:p w14:paraId="31E67141">
                  <w:pPr>
                    <w:widowControl/>
                    <w:jc w:val="center"/>
                    <w:textAlignment w:val="center"/>
                    <w:rPr>
                      <w:rFonts w:hint="default" w:ascii="Times New Roman" w:hAnsi="Times New Roman" w:eastAsia="宋体" w:cs="Times New Roman"/>
                      <w:color w:val="auto"/>
                      <w:sz w:val="21"/>
                      <w:szCs w:val="21"/>
                      <w:highlight w:val="none"/>
                      <w:lang w:val="en-US"/>
                    </w:rPr>
                  </w:pPr>
                  <w:r>
                    <w:rPr>
                      <w:rFonts w:hint="eastAsia"/>
                      <w:szCs w:val="21"/>
                      <w:highlight w:val="none"/>
                      <w:lang w:val="en-US" w:eastAsia="zh-CN"/>
                    </w:rPr>
                    <w:t>332</w:t>
                  </w:r>
                </w:p>
              </w:tc>
              <w:tc>
                <w:tcPr>
                  <w:tcW w:w="595" w:type="dxa"/>
                  <w:noWrap w:val="0"/>
                  <w:vAlign w:val="center"/>
                </w:tcPr>
                <w:p w14:paraId="5861AB3E">
                  <w:pPr>
                    <w:widowControl/>
                    <w:jc w:val="center"/>
                    <w:textAlignment w:val="center"/>
                    <w:rPr>
                      <w:rFonts w:hint="default" w:ascii="Times New Roman" w:hAnsi="Times New Roman" w:eastAsia="宋体" w:cs="Times New Roman"/>
                      <w:color w:val="auto"/>
                      <w:sz w:val="21"/>
                      <w:szCs w:val="21"/>
                      <w:highlight w:val="none"/>
                      <w:lang w:val="en-US"/>
                    </w:rPr>
                  </w:pPr>
                  <w:r>
                    <w:rPr>
                      <w:rFonts w:hint="eastAsia"/>
                      <w:szCs w:val="21"/>
                      <w:highlight w:val="none"/>
                      <w:lang w:val="en-US" w:eastAsia="zh-CN"/>
                    </w:rPr>
                    <w:t>312</w:t>
                  </w:r>
                </w:p>
              </w:tc>
              <w:tc>
                <w:tcPr>
                  <w:tcW w:w="1085" w:type="dxa"/>
                  <w:noWrap w:val="0"/>
                  <w:vAlign w:val="center"/>
                </w:tcPr>
                <w:p w14:paraId="3CA1CF4C">
                  <w:pPr>
                    <w:widowControl/>
                    <w:jc w:val="center"/>
                    <w:textAlignment w:val="center"/>
                    <w:rPr>
                      <w:rFonts w:hint="default" w:ascii="Times New Roman" w:hAnsi="Times New Roman" w:eastAsia="宋体" w:cs="Times New Roman"/>
                      <w:color w:val="auto"/>
                      <w:sz w:val="21"/>
                      <w:szCs w:val="21"/>
                      <w:highlight w:val="none"/>
                      <w:lang w:val="en-US"/>
                    </w:rPr>
                  </w:pPr>
                  <w:r>
                    <w:rPr>
                      <w:rFonts w:hint="eastAsia" w:eastAsia="宋体"/>
                      <w:kern w:val="2"/>
                      <w:sz w:val="21"/>
                      <w:szCs w:val="21"/>
                      <w:highlight w:val="none"/>
                      <w:lang w:val="en-US" w:eastAsia="zh-CN" w:bidi="ar-SA"/>
                    </w:rPr>
                    <w:t>316</w:t>
                  </w:r>
                </w:p>
              </w:tc>
              <w:tc>
                <w:tcPr>
                  <w:tcW w:w="711" w:type="dxa"/>
                  <w:tcBorders>
                    <w:right w:val="nil"/>
                  </w:tcBorders>
                  <w:noWrap w:val="0"/>
                  <w:vAlign w:val="center"/>
                </w:tcPr>
                <w:p w14:paraId="02D23329">
                  <w:pPr>
                    <w:spacing w:line="0" w:lineRule="atLeast"/>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w:t>
                  </w:r>
                </w:p>
              </w:tc>
            </w:tr>
            <w:tr w14:paraId="725A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235E33AA">
                  <w:pPr>
                    <w:spacing w:before="62" w:beforeLines="20" w:after="62" w:afterLines="20" w:line="0" w:lineRule="atLeast"/>
                    <w:jc w:val="center"/>
                    <w:rPr>
                      <w:rFonts w:hint="default" w:ascii="Times New Roman" w:hAnsi="Times New Roman" w:eastAsia="宋体" w:cs="Times New Roman"/>
                      <w:highlight w:val="none"/>
                      <w:lang w:val="en-US" w:eastAsia="zh-CN"/>
                    </w:rPr>
                  </w:pPr>
                </w:p>
              </w:tc>
              <w:tc>
                <w:tcPr>
                  <w:tcW w:w="923" w:type="dxa"/>
                  <w:vMerge w:val="restart"/>
                  <w:noWrap w:val="0"/>
                  <w:vAlign w:val="center"/>
                </w:tcPr>
                <w:p w14:paraId="2174E988">
                  <w:pPr>
                    <w:spacing w:before="62" w:beforeLines="20" w:after="62" w:afterLines="20" w:line="0" w:lineRule="atLeast"/>
                    <w:jc w:val="center"/>
                    <w:rPr>
                      <w:rFonts w:hint="default" w:ascii="Times New Roman" w:hAnsi="Times New Roman" w:eastAsia="宋体" w:cs="Times New Roman"/>
                      <w:highlight w:val="none"/>
                    </w:rPr>
                  </w:pPr>
                  <w:r>
                    <w:rPr>
                      <w:rFonts w:hint="eastAsia" w:ascii="Times New Roman" w:hAnsi="Times New Roman" w:eastAsia="宋体" w:cs="Times New Roman"/>
                      <w:highlight w:val="none"/>
                      <w:lang w:eastAsia="zh-CN"/>
                    </w:rPr>
                    <w:t>污水处理设施出口</w:t>
                  </w:r>
                </w:p>
              </w:tc>
              <w:tc>
                <w:tcPr>
                  <w:tcW w:w="2059" w:type="dxa"/>
                  <w:noWrap w:val="0"/>
                  <w:vAlign w:val="center"/>
                </w:tcPr>
                <w:p w14:paraId="57356D0E">
                  <w:pPr>
                    <w:spacing w:before="62" w:beforeLines="20" w:after="62" w:afterLines="20" w:line="0" w:lineRule="atLeast"/>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highlight w:val="none"/>
                    </w:rPr>
                    <w:t>pH，无量纲</w:t>
                  </w:r>
                </w:p>
              </w:tc>
              <w:tc>
                <w:tcPr>
                  <w:tcW w:w="586" w:type="dxa"/>
                  <w:noWrap w:val="0"/>
                  <w:vAlign w:val="center"/>
                </w:tcPr>
                <w:p w14:paraId="020DE282">
                  <w:pPr>
                    <w:widowControl/>
                    <w:jc w:val="center"/>
                    <w:textAlignment w:val="center"/>
                    <w:rPr>
                      <w:rFonts w:hint="default"/>
                      <w:szCs w:val="21"/>
                      <w:highlight w:val="none"/>
                      <w:lang w:val="en-US" w:eastAsia="zh-CN"/>
                    </w:rPr>
                  </w:pPr>
                  <w:r>
                    <w:rPr>
                      <w:rFonts w:hint="eastAsia"/>
                      <w:szCs w:val="21"/>
                      <w:highlight w:val="none"/>
                      <w:lang w:val="en-US" w:eastAsia="zh-CN"/>
                    </w:rPr>
                    <w:t>6.93</w:t>
                  </w:r>
                </w:p>
              </w:tc>
              <w:tc>
                <w:tcPr>
                  <w:tcW w:w="603" w:type="dxa"/>
                  <w:noWrap w:val="0"/>
                  <w:vAlign w:val="center"/>
                </w:tcPr>
                <w:p w14:paraId="100A32FA">
                  <w:pPr>
                    <w:widowControl/>
                    <w:jc w:val="center"/>
                    <w:textAlignment w:val="center"/>
                    <w:rPr>
                      <w:rFonts w:hint="default"/>
                      <w:szCs w:val="21"/>
                      <w:highlight w:val="none"/>
                      <w:lang w:val="en-US" w:eastAsia="zh-CN"/>
                    </w:rPr>
                  </w:pPr>
                  <w:r>
                    <w:rPr>
                      <w:rFonts w:hint="eastAsia"/>
                      <w:szCs w:val="21"/>
                      <w:highlight w:val="none"/>
                      <w:lang w:val="en-US" w:eastAsia="zh-CN"/>
                    </w:rPr>
                    <w:t>6.96</w:t>
                  </w:r>
                </w:p>
              </w:tc>
              <w:tc>
                <w:tcPr>
                  <w:tcW w:w="595" w:type="dxa"/>
                  <w:noWrap w:val="0"/>
                  <w:vAlign w:val="center"/>
                </w:tcPr>
                <w:p w14:paraId="16A90AFE">
                  <w:pPr>
                    <w:widowControl/>
                    <w:jc w:val="center"/>
                    <w:textAlignment w:val="center"/>
                    <w:rPr>
                      <w:rFonts w:hint="default"/>
                      <w:szCs w:val="21"/>
                      <w:highlight w:val="none"/>
                      <w:lang w:val="en-US" w:eastAsia="zh-CN"/>
                    </w:rPr>
                  </w:pPr>
                  <w:r>
                    <w:rPr>
                      <w:rFonts w:hint="eastAsia"/>
                      <w:szCs w:val="21"/>
                      <w:highlight w:val="none"/>
                      <w:lang w:val="en-US" w:eastAsia="zh-CN"/>
                    </w:rPr>
                    <w:t>6.89</w:t>
                  </w:r>
                </w:p>
              </w:tc>
              <w:tc>
                <w:tcPr>
                  <w:tcW w:w="595" w:type="dxa"/>
                  <w:noWrap w:val="0"/>
                  <w:vAlign w:val="center"/>
                </w:tcPr>
                <w:p w14:paraId="53506BF7">
                  <w:pPr>
                    <w:widowControl/>
                    <w:jc w:val="center"/>
                    <w:textAlignment w:val="center"/>
                    <w:rPr>
                      <w:rFonts w:hint="default"/>
                      <w:szCs w:val="21"/>
                      <w:highlight w:val="none"/>
                      <w:lang w:val="en-US" w:eastAsia="zh-CN"/>
                    </w:rPr>
                  </w:pPr>
                  <w:r>
                    <w:rPr>
                      <w:rFonts w:hint="eastAsia"/>
                      <w:szCs w:val="21"/>
                      <w:highlight w:val="none"/>
                      <w:lang w:val="en-US" w:eastAsia="zh-CN"/>
                    </w:rPr>
                    <w:t>6.98</w:t>
                  </w:r>
                </w:p>
              </w:tc>
              <w:tc>
                <w:tcPr>
                  <w:tcW w:w="1085" w:type="dxa"/>
                  <w:noWrap w:val="0"/>
                  <w:vAlign w:val="center"/>
                </w:tcPr>
                <w:p w14:paraId="2983EAF6">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6.89~6.98</w:t>
                  </w:r>
                </w:p>
              </w:tc>
              <w:tc>
                <w:tcPr>
                  <w:tcW w:w="711" w:type="dxa"/>
                  <w:tcBorders>
                    <w:right w:val="nil"/>
                  </w:tcBorders>
                  <w:noWrap w:val="0"/>
                  <w:vAlign w:val="center"/>
                </w:tcPr>
                <w:p w14:paraId="49C6786E">
                  <w:pPr>
                    <w:spacing w:line="0" w:lineRule="atLeast"/>
                    <w:jc w:val="center"/>
                    <w:rPr>
                      <w:rFonts w:hint="default"/>
                      <w:color w:val="000000"/>
                      <w:spacing w:val="-10"/>
                      <w:szCs w:val="21"/>
                      <w:highlight w:val="none"/>
                      <w:lang w:val="en-US" w:eastAsia="zh-CN"/>
                    </w:rPr>
                  </w:pPr>
                  <w:r>
                    <w:rPr>
                      <w:rFonts w:hint="eastAsia"/>
                      <w:color w:val="000000"/>
                      <w:spacing w:val="-10"/>
                      <w:szCs w:val="21"/>
                      <w:highlight w:val="none"/>
                      <w:lang w:val="en-US" w:eastAsia="zh-CN"/>
                    </w:rPr>
                    <w:t>6~9</w:t>
                  </w:r>
                </w:p>
              </w:tc>
            </w:tr>
            <w:tr w14:paraId="5AD9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23670EFA">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0F51E854">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52464876">
                  <w:pPr>
                    <w:spacing w:before="62" w:beforeLines="20" w:after="62" w:afterLines="20" w:line="0" w:lineRule="atLeast"/>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highlight w:val="none"/>
                    </w:rPr>
                    <w:t>悬浮物，mg/L</w:t>
                  </w:r>
                </w:p>
              </w:tc>
              <w:tc>
                <w:tcPr>
                  <w:tcW w:w="586" w:type="dxa"/>
                  <w:noWrap w:val="0"/>
                  <w:vAlign w:val="center"/>
                </w:tcPr>
                <w:p w14:paraId="51F80707">
                  <w:pPr>
                    <w:widowControl/>
                    <w:jc w:val="center"/>
                    <w:textAlignment w:val="center"/>
                    <w:rPr>
                      <w:rFonts w:hint="default"/>
                      <w:szCs w:val="21"/>
                      <w:highlight w:val="none"/>
                      <w:lang w:val="en-US" w:eastAsia="zh-CN"/>
                    </w:rPr>
                  </w:pPr>
                  <w:r>
                    <w:rPr>
                      <w:rFonts w:hint="eastAsia"/>
                      <w:szCs w:val="21"/>
                      <w:highlight w:val="none"/>
                      <w:lang w:val="en-US" w:eastAsia="zh-CN"/>
                    </w:rPr>
                    <w:t>28</w:t>
                  </w:r>
                </w:p>
              </w:tc>
              <w:tc>
                <w:tcPr>
                  <w:tcW w:w="603" w:type="dxa"/>
                  <w:noWrap w:val="0"/>
                  <w:vAlign w:val="center"/>
                </w:tcPr>
                <w:p w14:paraId="213C365E">
                  <w:pPr>
                    <w:widowControl/>
                    <w:jc w:val="center"/>
                    <w:textAlignment w:val="center"/>
                    <w:rPr>
                      <w:rFonts w:hint="default"/>
                      <w:szCs w:val="21"/>
                      <w:highlight w:val="none"/>
                      <w:lang w:val="en-US" w:eastAsia="zh-CN"/>
                    </w:rPr>
                  </w:pPr>
                  <w:r>
                    <w:rPr>
                      <w:rFonts w:hint="eastAsia"/>
                      <w:szCs w:val="21"/>
                      <w:highlight w:val="none"/>
                      <w:lang w:val="en-US" w:eastAsia="zh-CN"/>
                    </w:rPr>
                    <w:t>32</w:t>
                  </w:r>
                </w:p>
              </w:tc>
              <w:tc>
                <w:tcPr>
                  <w:tcW w:w="595" w:type="dxa"/>
                  <w:noWrap w:val="0"/>
                  <w:vAlign w:val="center"/>
                </w:tcPr>
                <w:p w14:paraId="682C8D62">
                  <w:pPr>
                    <w:widowControl/>
                    <w:jc w:val="center"/>
                    <w:textAlignment w:val="center"/>
                    <w:rPr>
                      <w:rFonts w:hint="default"/>
                      <w:szCs w:val="21"/>
                      <w:highlight w:val="none"/>
                      <w:lang w:val="en-US" w:eastAsia="zh-CN"/>
                    </w:rPr>
                  </w:pPr>
                  <w:r>
                    <w:rPr>
                      <w:rFonts w:hint="eastAsia"/>
                      <w:szCs w:val="21"/>
                      <w:highlight w:val="none"/>
                      <w:lang w:val="en-US" w:eastAsia="zh-CN"/>
                    </w:rPr>
                    <w:t>36</w:t>
                  </w:r>
                </w:p>
              </w:tc>
              <w:tc>
                <w:tcPr>
                  <w:tcW w:w="595" w:type="dxa"/>
                  <w:noWrap w:val="0"/>
                  <w:vAlign w:val="center"/>
                </w:tcPr>
                <w:p w14:paraId="748F0E03">
                  <w:pPr>
                    <w:widowControl/>
                    <w:jc w:val="center"/>
                    <w:textAlignment w:val="center"/>
                    <w:rPr>
                      <w:rFonts w:hint="default"/>
                      <w:szCs w:val="21"/>
                      <w:highlight w:val="none"/>
                      <w:lang w:val="en-US" w:eastAsia="zh-CN"/>
                    </w:rPr>
                  </w:pPr>
                  <w:r>
                    <w:rPr>
                      <w:rFonts w:hint="eastAsia"/>
                      <w:szCs w:val="21"/>
                      <w:highlight w:val="none"/>
                      <w:lang w:val="en-US" w:eastAsia="zh-CN"/>
                    </w:rPr>
                    <w:t>29</w:t>
                  </w:r>
                </w:p>
              </w:tc>
              <w:tc>
                <w:tcPr>
                  <w:tcW w:w="1085" w:type="dxa"/>
                  <w:noWrap w:val="0"/>
                  <w:vAlign w:val="center"/>
                </w:tcPr>
                <w:p w14:paraId="3DEC76B1">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31</w:t>
                  </w:r>
                </w:p>
              </w:tc>
              <w:tc>
                <w:tcPr>
                  <w:tcW w:w="711" w:type="dxa"/>
                  <w:tcBorders>
                    <w:right w:val="nil"/>
                  </w:tcBorders>
                  <w:noWrap w:val="0"/>
                  <w:vAlign w:val="center"/>
                </w:tcPr>
                <w:p w14:paraId="1DC19D65">
                  <w:pPr>
                    <w:spacing w:line="0" w:lineRule="atLeast"/>
                    <w:jc w:val="center"/>
                    <w:rPr>
                      <w:rFonts w:hint="default"/>
                      <w:color w:val="000000"/>
                      <w:spacing w:val="-10"/>
                      <w:szCs w:val="21"/>
                      <w:highlight w:val="none"/>
                      <w:lang w:val="en-US" w:eastAsia="zh-CN"/>
                    </w:rPr>
                  </w:pPr>
                  <w:r>
                    <w:rPr>
                      <w:rFonts w:hint="eastAsia"/>
                      <w:color w:val="000000"/>
                      <w:spacing w:val="-10"/>
                      <w:szCs w:val="21"/>
                      <w:highlight w:val="none"/>
                      <w:lang w:val="en-US" w:eastAsia="zh-CN"/>
                    </w:rPr>
                    <w:t>400</w:t>
                  </w:r>
                </w:p>
              </w:tc>
            </w:tr>
            <w:tr w14:paraId="212B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6FECA005">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52A3F906">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77140275">
                  <w:pPr>
                    <w:spacing w:before="62" w:beforeLines="20" w:after="62" w:afterLines="20" w:line="0" w:lineRule="atLeast"/>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highlight w:val="none"/>
                    </w:rPr>
                    <w:t>化学需氧量，mg/L</w:t>
                  </w:r>
                </w:p>
              </w:tc>
              <w:tc>
                <w:tcPr>
                  <w:tcW w:w="586" w:type="dxa"/>
                  <w:noWrap w:val="0"/>
                  <w:vAlign w:val="center"/>
                </w:tcPr>
                <w:p w14:paraId="3A60C7EA">
                  <w:pPr>
                    <w:widowControl/>
                    <w:jc w:val="center"/>
                    <w:textAlignment w:val="center"/>
                    <w:rPr>
                      <w:rFonts w:hint="default"/>
                      <w:szCs w:val="21"/>
                      <w:highlight w:val="none"/>
                      <w:lang w:val="en-US" w:eastAsia="zh-CN"/>
                    </w:rPr>
                  </w:pPr>
                  <w:r>
                    <w:rPr>
                      <w:rFonts w:hint="eastAsia"/>
                      <w:szCs w:val="21"/>
                      <w:highlight w:val="none"/>
                      <w:lang w:val="en-US" w:eastAsia="zh-CN"/>
                    </w:rPr>
                    <w:t>57</w:t>
                  </w:r>
                </w:p>
              </w:tc>
              <w:tc>
                <w:tcPr>
                  <w:tcW w:w="603" w:type="dxa"/>
                  <w:noWrap w:val="0"/>
                  <w:vAlign w:val="center"/>
                </w:tcPr>
                <w:p w14:paraId="05CF96AC">
                  <w:pPr>
                    <w:widowControl/>
                    <w:jc w:val="center"/>
                    <w:textAlignment w:val="center"/>
                    <w:rPr>
                      <w:rFonts w:hint="default"/>
                      <w:szCs w:val="21"/>
                      <w:highlight w:val="none"/>
                      <w:lang w:val="en-US" w:eastAsia="zh-CN"/>
                    </w:rPr>
                  </w:pPr>
                  <w:r>
                    <w:rPr>
                      <w:rFonts w:hint="eastAsia"/>
                      <w:szCs w:val="21"/>
                      <w:highlight w:val="none"/>
                      <w:lang w:val="en-US" w:eastAsia="zh-CN"/>
                    </w:rPr>
                    <w:t>62</w:t>
                  </w:r>
                </w:p>
              </w:tc>
              <w:tc>
                <w:tcPr>
                  <w:tcW w:w="595" w:type="dxa"/>
                  <w:noWrap w:val="0"/>
                  <w:vAlign w:val="center"/>
                </w:tcPr>
                <w:p w14:paraId="47F96A75">
                  <w:pPr>
                    <w:widowControl/>
                    <w:jc w:val="center"/>
                    <w:textAlignment w:val="center"/>
                    <w:rPr>
                      <w:rFonts w:hint="default"/>
                      <w:szCs w:val="21"/>
                      <w:highlight w:val="none"/>
                      <w:lang w:val="en-US" w:eastAsia="zh-CN"/>
                    </w:rPr>
                  </w:pPr>
                  <w:r>
                    <w:rPr>
                      <w:rFonts w:hint="eastAsia"/>
                      <w:szCs w:val="21"/>
                      <w:highlight w:val="none"/>
                      <w:lang w:val="en-US" w:eastAsia="zh-CN"/>
                    </w:rPr>
                    <w:t>60</w:t>
                  </w:r>
                </w:p>
              </w:tc>
              <w:tc>
                <w:tcPr>
                  <w:tcW w:w="595" w:type="dxa"/>
                  <w:noWrap w:val="0"/>
                  <w:vAlign w:val="center"/>
                </w:tcPr>
                <w:p w14:paraId="03663E56">
                  <w:pPr>
                    <w:widowControl/>
                    <w:jc w:val="center"/>
                    <w:textAlignment w:val="center"/>
                    <w:rPr>
                      <w:rFonts w:hint="default"/>
                      <w:szCs w:val="21"/>
                      <w:highlight w:val="none"/>
                      <w:lang w:val="en-US" w:eastAsia="zh-CN"/>
                    </w:rPr>
                  </w:pPr>
                  <w:r>
                    <w:rPr>
                      <w:rFonts w:hint="eastAsia"/>
                      <w:szCs w:val="21"/>
                      <w:highlight w:val="none"/>
                      <w:lang w:val="en-US" w:eastAsia="zh-CN"/>
                    </w:rPr>
                    <w:t>65</w:t>
                  </w:r>
                </w:p>
              </w:tc>
              <w:tc>
                <w:tcPr>
                  <w:tcW w:w="1085" w:type="dxa"/>
                  <w:noWrap w:val="0"/>
                  <w:vAlign w:val="center"/>
                </w:tcPr>
                <w:p w14:paraId="60614D98">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61</w:t>
                  </w:r>
                </w:p>
              </w:tc>
              <w:tc>
                <w:tcPr>
                  <w:tcW w:w="711" w:type="dxa"/>
                  <w:tcBorders>
                    <w:right w:val="nil"/>
                  </w:tcBorders>
                  <w:noWrap w:val="0"/>
                  <w:vAlign w:val="center"/>
                </w:tcPr>
                <w:p w14:paraId="5419992A">
                  <w:pPr>
                    <w:spacing w:line="0" w:lineRule="atLeast"/>
                    <w:jc w:val="center"/>
                    <w:rPr>
                      <w:rFonts w:hint="default"/>
                      <w:color w:val="000000"/>
                      <w:spacing w:val="-10"/>
                      <w:szCs w:val="21"/>
                      <w:highlight w:val="none"/>
                      <w:lang w:val="en-US" w:eastAsia="zh-CN"/>
                    </w:rPr>
                  </w:pPr>
                  <w:r>
                    <w:rPr>
                      <w:rFonts w:hint="eastAsia"/>
                      <w:color w:val="000000"/>
                      <w:spacing w:val="-10"/>
                      <w:szCs w:val="21"/>
                      <w:highlight w:val="none"/>
                      <w:lang w:val="en-US" w:eastAsia="zh-CN"/>
                    </w:rPr>
                    <w:t>500</w:t>
                  </w:r>
                </w:p>
              </w:tc>
            </w:tr>
            <w:tr w14:paraId="0650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restart"/>
                  <w:tcBorders>
                    <w:left w:val="nil"/>
                  </w:tcBorders>
                  <w:noWrap w:val="0"/>
                  <w:vAlign w:val="center"/>
                </w:tcPr>
                <w:p w14:paraId="3BC56FE0">
                  <w:pPr>
                    <w:spacing w:before="62" w:beforeLines="20" w:after="62" w:afterLines="20" w:line="0" w:lineRule="atLeast"/>
                    <w:jc w:val="center"/>
                    <w:rPr>
                      <w:rFonts w:hint="default" w:ascii="Times New Roman" w:hAnsi="Times New Roman" w:eastAsia="宋体" w:cs="Times New Roman"/>
                      <w:highlight w:val="none"/>
                    </w:rPr>
                  </w:pPr>
                  <w:r>
                    <w:rPr>
                      <w:rFonts w:hint="eastAsia" w:ascii="Times New Roman" w:hAnsi="Times New Roman" w:eastAsia="宋体" w:cs="Times New Roman"/>
                      <w:highlight w:val="none"/>
                      <w:lang w:val="en-US" w:eastAsia="zh-CN"/>
                    </w:rPr>
                    <w:t>2011.3.23</w:t>
                  </w:r>
                </w:p>
              </w:tc>
              <w:tc>
                <w:tcPr>
                  <w:tcW w:w="923" w:type="dxa"/>
                  <w:vMerge w:val="restart"/>
                  <w:noWrap w:val="0"/>
                  <w:vAlign w:val="center"/>
                </w:tcPr>
                <w:p w14:paraId="5E4904A1">
                  <w:pPr>
                    <w:jc w:val="center"/>
                    <w:rPr>
                      <w:rFonts w:hint="default" w:ascii="Times New Roman" w:hAnsi="Times New Roman" w:eastAsia="宋体" w:cs="Times New Roman"/>
                      <w:highlight w:val="none"/>
                    </w:rPr>
                  </w:pPr>
                  <w:r>
                    <w:rPr>
                      <w:rFonts w:hint="eastAsia" w:ascii="Times New Roman" w:hAnsi="Times New Roman" w:eastAsia="宋体" w:cs="Times New Roman"/>
                      <w:highlight w:val="none"/>
                      <w:lang w:eastAsia="zh-CN"/>
                    </w:rPr>
                    <w:t>污水处理设施进口</w:t>
                  </w:r>
                </w:p>
              </w:tc>
              <w:tc>
                <w:tcPr>
                  <w:tcW w:w="2059" w:type="dxa"/>
                  <w:noWrap w:val="0"/>
                  <w:vAlign w:val="center"/>
                </w:tcPr>
                <w:p w14:paraId="2A4C52F9">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pH，无量纲</w:t>
                  </w:r>
                </w:p>
              </w:tc>
              <w:tc>
                <w:tcPr>
                  <w:tcW w:w="586" w:type="dxa"/>
                  <w:noWrap w:val="0"/>
                  <w:vAlign w:val="center"/>
                </w:tcPr>
                <w:p w14:paraId="361216C2">
                  <w:pPr>
                    <w:widowControl/>
                    <w:jc w:val="center"/>
                    <w:textAlignment w:val="center"/>
                    <w:rPr>
                      <w:rFonts w:hint="default"/>
                      <w:szCs w:val="21"/>
                      <w:highlight w:val="none"/>
                      <w:lang w:val="en-US" w:eastAsia="zh-CN"/>
                    </w:rPr>
                  </w:pPr>
                  <w:r>
                    <w:rPr>
                      <w:rFonts w:hint="eastAsia"/>
                      <w:szCs w:val="21"/>
                      <w:highlight w:val="none"/>
                      <w:lang w:val="en-US" w:eastAsia="zh-CN"/>
                    </w:rPr>
                    <w:t>7.13</w:t>
                  </w:r>
                </w:p>
              </w:tc>
              <w:tc>
                <w:tcPr>
                  <w:tcW w:w="603" w:type="dxa"/>
                  <w:noWrap w:val="0"/>
                  <w:vAlign w:val="center"/>
                </w:tcPr>
                <w:p w14:paraId="51B11269">
                  <w:pPr>
                    <w:widowControl/>
                    <w:jc w:val="center"/>
                    <w:textAlignment w:val="center"/>
                    <w:rPr>
                      <w:rFonts w:hint="default"/>
                      <w:szCs w:val="21"/>
                      <w:highlight w:val="none"/>
                      <w:lang w:val="en-US" w:eastAsia="zh-CN"/>
                    </w:rPr>
                  </w:pPr>
                  <w:r>
                    <w:rPr>
                      <w:rFonts w:hint="eastAsia"/>
                      <w:szCs w:val="21"/>
                      <w:highlight w:val="none"/>
                      <w:lang w:val="en-US" w:eastAsia="zh-CN"/>
                    </w:rPr>
                    <w:t>7.16</w:t>
                  </w:r>
                </w:p>
              </w:tc>
              <w:tc>
                <w:tcPr>
                  <w:tcW w:w="595" w:type="dxa"/>
                  <w:noWrap w:val="0"/>
                  <w:vAlign w:val="center"/>
                </w:tcPr>
                <w:p w14:paraId="344207F6">
                  <w:pPr>
                    <w:widowControl/>
                    <w:jc w:val="center"/>
                    <w:textAlignment w:val="center"/>
                    <w:rPr>
                      <w:rFonts w:hint="default"/>
                      <w:szCs w:val="21"/>
                      <w:highlight w:val="none"/>
                      <w:lang w:val="en-US" w:eastAsia="zh-CN"/>
                    </w:rPr>
                  </w:pPr>
                  <w:r>
                    <w:rPr>
                      <w:rFonts w:hint="eastAsia"/>
                      <w:szCs w:val="21"/>
                      <w:highlight w:val="none"/>
                      <w:lang w:val="en-US" w:eastAsia="zh-CN"/>
                    </w:rPr>
                    <w:t>7.08</w:t>
                  </w:r>
                </w:p>
              </w:tc>
              <w:tc>
                <w:tcPr>
                  <w:tcW w:w="595" w:type="dxa"/>
                  <w:noWrap w:val="0"/>
                  <w:vAlign w:val="center"/>
                </w:tcPr>
                <w:p w14:paraId="719D2D0F">
                  <w:pPr>
                    <w:widowControl/>
                    <w:jc w:val="center"/>
                    <w:textAlignment w:val="center"/>
                    <w:rPr>
                      <w:rFonts w:hint="default"/>
                      <w:szCs w:val="21"/>
                      <w:highlight w:val="none"/>
                      <w:lang w:val="en-US" w:eastAsia="zh-CN"/>
                    </w:rPr>
                  </w:pPr>
                  <w:r>
                    <w:rPr>
                      <w:rFonts w:hint="eastAsia"/>
                      <w:szCs w:val="21"/>
                      <w:highlight w:val="none"/>
                      <w:lang w:val="en-US" w:eastAsia="zh-CN"/>
                    </w:rPr>
                    <w:t>7.18</w:t>
                  </w:r>
                </w:p>
              </w:tc>
              <w:tc>
                <w:tcPr>
                  <w:tcW w:w="1085" w:type="dxa"/>
                  <w:noWrap w:val="0"/>
                  <w:vAlign w:val="center"/>
                </w:tcPr>
                <w:p w14:paraId="7807C08C">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7.08~7.18</w:t>
                  </w:r>
                </w:p>
              </w:tc>
              <w:tc>
                <w:tcPr>
                  <w:tcW w:w="711" w:type="dxa"/>
                  <w:tcBorders>
                    <w:right w:val="nil"/>
                  </w:tcBorders>
                  <w:noWrap w:val="0"/>
                  <w:vAlign w:val="center"/>
                </w:tcPr>
                <w:p w14:paraId="5793D515">
                  <w:pPr>
                    <w:spacing w:line="0" w:lineRule="atLeast"/>
                    <w:jc w:val="center"/>
                    <w:rPr>
                      <w:rFonts w:hint="default"/>
                      <w:color w:val="000000"/>
                      <w:spacing w:val="-10"/>
                      <w:szCs w:val="21"/>
                      <w:highlight w:val="none"/>
                      <w:lang w:val="en-US" w:eastAsia="zh-CN"/>
                    </w:rPr>
                  </w:pPr>
                  <w:r>
                    <w:rPr>
                      <w:rFonts w:hint="eastAsia"/>
                      <w:color w:val="000000"/>
                      <w:spacing w:val="-10"/>
                      <w:szCs w:val="21"/>
                      <w:highlight w:val="none"/>
                      <w:lang w:val="en-US" w:eastAsia="zh-CN"/>
                    </w:rPr>
                    <w:t>/</w:t>
                  </w:r>
                </w:p>
              </w:tc>
            </w:tr>
            <w:tr w14:paraId="3AFB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5D899772">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5EBDA909">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7B2B74A0">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悬浮物，mg/L</w:t>
                  </w:r>
                </w:p>
              </w:tc>
              <w:tc>
                <w:tcPr>
                  <w:tcW w:w="586" w:type="dxa"/>
                  <w:noWrap w:val="0"/>
                  <w:vAlign w:val="center"/>
                </w:tcPr>
                <w:p w14:paraId="3949DB85">
                  <w:pPr>
                    <w:widowControl/>
                    <w:jc w:val="center"/>
                    <w:textAlignment w:val="center"/>
                    <w:rPr>
                      <w:rFonts w:hint="default"/>
                      <w:szCs w:val="21"/>
                      <w:highlight w:val="none"/>
                      <w:lang w:val="en-US" w:eastAsia="zh-CN"/>
                    </w:rPr>
                  </w:pPr>
                  <w:r>
                    <w:rPr>
                      <w:rFonts w:hint="eastAsia"/>
                      <w:szCs w:val="21"/>
                      <w:highlight w:val="none"/>
                      <w:lang w:val="en-US" w:eastAsia="zh-CN"/>
                    </w:rPr>
                    <w:t>92</w:t>
                  </w:r>
                </w:p>
              </w:tc>
              <w:tc>
                <w:tcPr>
                  <w:tcW w:w="603" w:type="dxa"/>
                  <w:noWrap w:val="0"/>
                  <w:vAlign w:val="center"/>
                </w:tcPr>
                <w:p w14:paraId="6E8A3345">
                  <w:pPr>
                    <w:widowControl/>
                    <w:jc w:val="center"/>
                    <w:textAlignment w:val="center"/>
                    <w:rPr>
                      <w:rFonts w:hint="default"/>
                      <w:szCs w:val="21"/>
                      <w:highlight w:val="none"/>
                      <w:lang w:val="en-US" w:eastAsia="zh-CN"/>
                    </w:rPr>
                  </w:pPr>
                  <w:r>
                    <w:rPr>
                      <w:rFonts w:hint="eastAsia"/>
                      <w:szCs w:val="21"/>
                      <w:highlight w:val="none"/>
                      <w:lang w:val="en-US" w:eastAsia="zh-CN"/>
                    </w:rPr>
                    <w:t>87</w:t>
                  </w:r>
                </w:p>
              </w:tc>
              <w:tc>
                <w:tcPr>
                  <w:tcW w:w="595" w:type="dxa"/>
                  <w:noWrap w:val="0"/>
                  <w:vAlign w:val="center"/>
                </w:tcPr>
                <w:p w14:paraId="4E97769C">
                  <w:pPr>
                    <w:widowControl/>
                    <w:jc w:val="center"/>
                    <w:textAlignment w:val="center"/>
                    <w:rPr>
                      <w:rFonts w:hint="default"/>
                      <w:szCs w:val="21"/>
                      <w:highlight w:val="none"/>
                      <w:lang w:val="en-US" w:eastAsia="zh-CN"/>
                    </w:rPr>
                  </w:pPr>
                  <w:r>
                    <w:rPr>
                      <w:rFonts w:hint="eastAsia"/>
                      <w:szCs w:val="21"/>
                      <w:highlight w:val="none"/>
                      <w:lang w:val="en-US" w:eastAsia="zh-CN"/>
                    </w:rPr>
                    <w:t>78</w:t>
                  </w:r>
                </w:p>
              </w:tc>
              <w:tc>
                <w:tcPr>
                  <w:tcW w:w="595" w:type="dxa"/>
                  <w:noWrap w:val="0"/>
                  <w:vAlign w:val="center"/>
                </w:tcPr>
                <w:p w14:paraId="37296799">
                  <w:pPr>
                    <w:widowControl/>
                    <w:jc w:val="center"/>
                    <w:textAlignment w:val="center"/>
                    <w:rPr>
                      <w:rFonts w:hint="default"/>
                      <w:szCs w:val="21"/>
                      <w:highlight w:val="none"/>
                      <w:lang w:val="en-US" w:eastAsia="zh-CN"/>
                    </w:rPr>
                  </w:pPr>
                  <w:r>
                    <w:rPr>
                      <w:rFonts w:hint="eastAsia"/>
                      <w:szCs w:val="21"/>
                      <w:highlight w:val="none"/>
                      <w:lang w:val="en-US" w:eastAsia="zh-CN"/>
                    </w:rPr>
                    <w:t>90</w:t>
                  </w:r>
                </w:p>
              </w:tc>
              <w:tc>
                <w:tcPr>
                  <w:tcW w:w="1085" w:type="dxa"/>
                  <w:noWrap w:val="0"/>
                  <w:vAlign w:val="center"/>
                </w:tcPr>
                <w:p w14:paraId="29A74C89">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87</w:t>
                  </w:r>
                </w:p>
              </w:tc>
              <w:tc>
                <w:tcPr>
                  <w:tcW w:w="711" w:type="dxa"/>
                  <w:tcBorders>
                    <w:right w:val="nil"/>
                  </w:tcBorders>
                  <w:noWrap w:val="0"/>
                  <w:vAlign w:val="center"/>
                </w:tcPr>
                <w:p w14:paraId="4F3818B0">
                  <w:pPr>
                    <w:spacing w:line="0" w:lineRule="atLeast"/>
                    <w:jc w:val="center"/>
                    <w:rPr>
                      <w:rFonts w:hint="default"/>
                      <w:color w:val="000000"/>
                      <w:spacing w:val="-10"/>
                      <w:szCs w:val="21"/>
                      <w:highlight w:val="none"/>
                      <w:lang w:val="en-US" w:eastAsia="zh-CN"/>
                    </w:rPr>
                  </w:pPr>
                  <w:r>
                    <w:rPr>
                      <w:rFonts w:hint="eastAsia"/>
                      <w:color w:val="000000"/>
                      <w:spacing w:val="-10"/>
                      <w:szCs w:val="21"/>
                      <w:highlight w:val="none"/>
                      <w:lang w:val="en-US" w:eastAsia="zh-CN"/>
                    </w:rPr>
                    <w:t>/</w:t>
                  </w:r>
                </w:p>
              </w:tc>
            </w:tr>
            <w:tr w14:paraId="6586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53344347">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34C7BA13">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611FB869">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化学需氧量，mg/L</w:t>
                  </w:r>
                </w:p>
              </w:tc>
              <w:tc>
                <w:tcPr>
                  <w:tcW w:w="586" w:type="dxa"/>
                  <w:noWrap w:val="0"/>
                  <w:vAlign w:val="center"/>
                </w:tcPr>
                <w:p w14:paraId="1A5BBD2C">
                  <w:pPr>
                    <w:widowControl/>
                    <w:jc w:val="center"/>
                    <w:textAlignment w:val="center"/>
                    <w:rPr>
                      <w:rFonts w:hint="default"/>
                      <w:szCs w:val="21"/>
                      <w:highlight w:val="none"/>
                      <w:lang w:val="en-US" w:eastAsia="zh-CN"/>
                    </w:rPr>
                  </w:pPr>
                  <w:r>
                    <w:rPr>
                      <w:rFonts w:hint="eastAsia"/>
                      <w:szCs w:val="21"/>
                      <w:highlight w:val="none"/>
                      <w:lang w:val="en-US" w:eastAsia="zh-CN"/>
                    </w:rPr>
                    <w:t>325</w:t>
                  </w:r>
                </w:p>
              </w:tc>
              <w:tc>
                <w:tcPr>
                  <w:tcW w:w="603" w:type="dxa"/>
                  <w:noWrap w:val="0"/>
                  <w:vAlign w:val="center"/>
                </w:tcPr>
                <w:p w14:paraId="657F3998">
                  <w:pPr>
                    <w:widowControl/>
                    <w:jc w:val="center"/>
                    <w:textAlignment w:val="center"/>
                    <w:rPr>
                      <w:rFonts w:hint="default"/>
                      <w:szCs w:val="21"/>
                      <w:highlight w:val="none"/>
                      <w:lang w:val="en-US" w:eastAsia="zh-CN"/>
                    </w:rPr>
                  </w:pPr>
                  <w:r>
                    <w:rPr>
                      <w:rFonts w:hint="eastAsia"/>
                      <w:szCs w:val="21"/>
                      <w:highlight w:val="none"/>
                      <w:lang w:val="en-US" w:eastAsia="zh-CN"/>
                    </w:rPr>
                    <w:t>344</w:t>
                  </w:r>
                </w:p>
              </w:tc>
              <w:tc>
                <w:tcPr>
                  <w:tcW w:w="595" w:type="dxa"/>
                  <w:noWrap w:val="0"/>
                  <w:vAlign w:val="center"/>
                </w:tcPr>
                <w:p w14:paraId="5D590781">
                  <w:pPr>
                    <w:widowControl/>
                    <w:jc w:val="center"/>
                    <w:textAlignment w:val="center"/>
                    <w:rPr>
                      <w:rFonts w:hint="default"/>
                      <w:szCs w:val="21"/>
                      <w:highlight w:val="none"/>
                      <w:lang w:val="en-US" w:eastAsia="zh-CN"/>
                    </w:rPr>
                  </w:pPr>
                  <w:r>
                    <w:rPr>
                      <w:rFonts w:hint="eastAsia"/>
                      <w:szCs w:val="21"/>
                      <w:highlight w:val="none"/>
                      <w:lang w:val="en-US" w:eastAsia="zh-CN"/>
                    </w:rPr>
                    <w:t>333</w:t>
                  </w:r>
                </w:p>
              </w:tc>
              <w:tc>
                <w:tcPr>
                  <w:tcW w:w="595" w:type="dxa"/>
                  <w:noWrap w:val="0"/>
                  <w:vAlign w:val="center"/>
                </w:tcPr>
                <w:p w14:paraId="63C32AE4">
                  <w:pPr>
                    <w:widowControl/>
                    <w:jc w:val="center"/>
                    <w:textAlignment w:val="center"/>
                    <w:rPr>
                      <w:rFonts w:hint="default"/>
                      <w:szCs w:val="21"/>
                      <w:highlight w:val="none"/>
                      <w:lang w:val="en-US" w:eastAsia="zh-CN"/>
                    </w:rPr>
                  </w:pPr>
                  <w:r>
                    <w:rPr>
                      <w:rFonts w:hint="eastAsia"/>
                      <w:szCs w:val="21"/>
                      <w:highlight w:val="none"/>
                      <w:lang w:val="en-US" w:eastAsia="zh-CN"/>
                    </w:rPr>
                    <w:t>352</w:t>
                  </w:r>
                </w:p>
              </w:tc>
              <w:tc>
                <w:tcPr>
                  <w:tcW w:w="1085" w:type="dxa"/>
                  <w:noWrap w:val="0"/>
                  <w:vAlign w:val="center"/>
                </w:tcPr>
                <w:p w14:paraId="6EE00119">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338</w:t>
                  </w:r>
                </w:p>
              </w:tc>
              <w:tc>
                <w:tcPr>
                  <w:tcW w:w="711" w:type="dxa"/>
                  <w:tcBorders>
                    <w:right w:val="nil"/>
                  </w:tcBorders>
                  <w:noWrap w:val="0"/>
                  <w:vAlign w:val="center"/>
                </w:tcPr>
                <w:p w14:paraId="4F817550">
                  <w:pPr>
                    <w:spacing w:line="0" w:lineRule="atLeast"/>
                    <w:jc w:val="center"/>
                    <w:rPr>
                      <w:rFonts w:hint="default"/>
                      <w:color w:val="000000"/>
                      <w:spacing w:val="-10"/>
                      <w:szCs w:val="21"/>
                      <w:highlight w:val="none"/>
                      <w:lang w:val="en-US" w:eastAsia="zh-CN"/>
                    </w:rPr>
                  </w:pPr>
                  <w:r>
                    <w:rPr>
                      <w:rFonts w:hint="eastAsia"/>
                      <w:color w:val="000000"/>
                      <w:spacing w:val="-10"/>
                      <w:szCs w:val="21"/>
                      <w:highlight w:val="none"/>
                      <w:lang w:val="en-US" w:eastAsia="zh-CN"/>
                    </w:rPr>
                    <w:t>/</w:t>
                  </w:r>
                </w:p>
              </w:tc>
            </w:tr>
            <w:tr w14:paraId="096B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38356BF6">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restart"/>
                  <w:noWrap w:val="0"/>
                  <w:vAlign w:val="center"/>
                </w:tcPr>
                <w:p w14:paraId="23FC00EC">
                  <w:pPr>
                    <w:spacing w:before="62" w:beforeLines="20" w:after="62" w:afterLines="20" w:line="0" w:lineRule="atLeast"/>
                    <w:jc w:val="center"/>
                    <w:rPr>
                      <w:rFonts w:hint="default" w:ascii="Times New Roman" w:hAnsi="Times New Roman" w:eastAsia="宋体" w:cs="Times New Roman"/>
                      <w:highlight w:val="none"/>
                    </w:rPr>
                  </w:pPr>
                  <w:r>
                    <w:rPr>
                      <w:rFonts w:hint="eastAsia" w:ascii="Times New Roman" w:hAnsi="Times New Roman" w:eastAsia="宋体" w:cs="Times New Roman"/>
                      <w:highlight w:val="none"/>
                      <w:lang w:eastAsia="zh-CN"/>
                    </w:rPr>
                    <w:t>污水处理设施出口</w:t>
                  </w:r>
                </w:p>
              </w:tc>
              <w:tc>
                <w:tcPr>
                  <w:tcW w:w="2059" w:type="dxa"/>
                  <w:noWrap w:val="0"/>
                  <w:vAlign w:val="center"/>
                </w:tcPr>
                <w:p w14:paraId="3825B761">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pH，无量纲</w:t>
                  </w:r>
                </w:p>
              </w:tc>
              <w:tc>
                <w:tcPr>
                  <w:tcW w:w="586" w:type="dxa"/>
                  <w:noWrap w:val="0"/>
                  <w:vAlign w:val="center"/>
                </w:tcPr>
                <w:p w14:paraId="699FFFDC">
                  <w:pPr>
                    <w:widowControl/>
                    <w:jc w:val="center"/>
                    <w:textAlignment w:val="center"/>
                    <w:rPr>
                      <w:rFonts w:hint="default"/>
                      <w:szCs w:val="21"/>
                      <w:highlight w:val="none"/>
                      <w:lang w:val="en-US" w:eastAsia="zh-CN"/>
                    </w:rPr>
                  </w:pPr>
                  <w:r>
                    <w:rPr>
                      <w:rFonts w:hint="eastAsia"/>
                      <w:szCs w:val="21"/>
                      <w:highlight w:val="none"/>
                      <w:lang w:val="en-US" w:eastAsia="zh-CN"/>
                    </w:rPr>
                    <w:t>6.92</w:t>
                  </w:r>
                </w:p>
              </w:tc>
              <w:tc>
                <w:tcPr>
                  <w:tcW w:w="603" w:type="dxa"/>
                  <w:noWrap w:val="0"/>
                  <w:vAlign w:val="center"/>
                </w:tcPr>
                <w:p w14:paraId="7C0D61A1">
                  <w:pPr>
                    <w:widowControl/>
                    <w:jc w:val="center"/>
                    <w:textAlignment w:val="center"/>
                    <w:rPr>
                      <w:rFonts w:hint="default"/>
                      <w:szCs w:val="21"/>
                      <w:highlight w:val="none"/>
                      <w:lang w:val="en-US" w:eastAsia="zh-CN"/>
                    </w:rPr>
                  </w:pPr>
                  <w:r>
                    <w:rPr>
                      <w:rFonts w:hint="eastAsia"/>
                      <w:szCs w:val="21"/>
                      <w:highlight w:val="none"/>
                      <w:lang w:val="en-US" w:eastAsia="zh-CN"/>
                    </w:rPr>
                    <w:t>6.95</w:t>
                  </w:r>
                </w:p>
              </w:tc>
              <w:tc>
                <w:tcPr>
                  <w:tcW w:w="595" w:type="dxa"/>
                  <w:noWrap w:val="0"/>
                  <w:vAlign w:val="center"/>
                </w:tcPr>
                <w:p w14:paraId="74570F13">
                  <w:pPr>
                    <w:widowControl/>
                    <w:jc w:val="center"/>
                    <w:textAlignment w:val="center"/>
                    <w:rPr>
                      <w:rFonts w:hint="default"/>
                      <w:szCs w:val="21"/>
                      <w:highlight w:val="none"/>
                      <w:lang w:val="en-US" w:eastAsia="zh-CN"/>
                    </w:rPr>
                  </w:pPr>
                  <w:r>
                    <w:rPr>
                      <w:rFonts w:hint="eastAsia"/>
                      <w:szCs w:val="21"/>
                      <w:highlight w:val="none"/>
                      <w:lang w:val="en-US" w:eastAsia="zh-CN"/>
                    </w:rPr>
                    <w:t>6.98</w:t>
                  </w:r>
                </w:p>
              </w:tc>
              <w:tc>
                <w:tcPr>
                  <w:tcW w:w="595" w:type="dxa"/>
                  <w:noWrap w:val="0"/>
                  <w:vAlign w:val="center"/>
                </w:tcPr>
                <w:p w14:paraId="4B0E6571">
                  <w:pPr>
                    <w:widowControl/>
                    <w:jc w:val="center"/>
                    <w:textAlignment w:val="center"/>
                    <w:rPr>
                      <w:rFonts w:hint="default"/>
                      <w:szCs w:val="21"/>
                      <w:highlight w:val="none"/>
                      <w:lang w:val="en-US" w:eastAsia="zh-CN"/>
                    </w:rPr>
                  </w:pPr>
                  <w:r>
                    <w:rPr>
                      <w:rFonts w:hint="eastAsia"/>
                      <w:szCs w:val="21"/>
                      <w:highlight w:val="none"/>
                      <w:lang w:val="en-US" w:eastAsia="zh-CN"/>
                    </w:rPr>
                    <w:t>7.01</w:t>
                  </w:r>
                </w:p>
              </w:tc>
              <w:tc>
                <w:tcPr>
                  <w:tcW w:w="1085" w:type="dxa"/>
                  <w:noWrap w:val="0"/>
                  <w:vAlign w:val="center"/>
                </w:tcPr>
                <w:p w14:paraId="59E1F523">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6.92~7.01</w:t>
                  </w:r>
                </w:p>
              </w:tc>
              <w:tc>
                <w:tcPr>
                  <w:tcW w:w="711" w:type="dxa"/>
                  <w:tcBorders>
                    <w:right w:val="nil"/>
                  </w:tcBorders>
                  <w:noWrap w:val="0"/>
                  <w:vAlign w:val="center"/>
                </w:tcPr>
                <w:p w14:paraId="1A44AA99">
                  <w:pPr>
                    <w:spacing w:line="0" w:lineRule="atLeast"/>
                    <w:jc w:val="center"/>
                    <w:rPr>
                      <w:rFonts w:hint="eastAsia"/>
                      <w:color w:val="000000"/>
                      <w:spacing w:val="-10"/>
                      <w:szCs w:val="21"/>
                      <w:highlight w:val="none"/>
                      <w:lang w:val="en-US" w:eastAsia="zh-CN"/>
                    </w:rPr>
                  </w:pPr>
                  <w:r>
                    <w:rPr>
                      <w:rFonts w:hint="eastAsia"/>
                      <w:color w:val="000000"/>
                      <w:spacing w:val="-10"/>
                      <w:szCs w:val="21"/>
                      <w:highlight w:val="none"/>
                      <w:lang w:val="en-US" w:eastAsia="zh-CN"/>
                    </w:rPr>
                    <w:t>6~9</w:t>
                  </w:r>
                </w:p>
              </w:tc>
            </w:tr>
            <w:tr w14:paraId="3D6A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52994AC9">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2B158849">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514D1E00">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悬浮物，mg/L</w:t>
                  </w:r>
                </w:p>
              </w:tc>
              <w:tc>
                <w:tcPr>
                  <w:tcW w:w="586" w:type="dxa"/>
                  <w:noWrap w:val="0"/>
                  <w:vAlign w:val="center"/>
                </w:tcPr>
                <w:p w14:paraId="1A8AFC91">
                  <w:pPr>
                    <w:widowControl/>
                    <w:jc w:val="center"/>
                    <w:textAlignment w:val="center"/>
                    <w:rPr>
                      <w:rFonts w:hint="default"/>
                      <w:szCs w:val="21"/>
                      <w:highlight w:val="none"/>
                      <w:lang w:val="en-US" w:eastAsia="zh-CN"/>
                    </w:rPr>
                  </w:pPr>
                  <w:r>
                    <w:rPr>
                      <w:rFonts w:hint="eastAsia"/>
                      <w:szCs w:val="21"/>
                      <w:highlight w:val="none"/>
                      <w:lang w:val="en-US" w:eastAsia="zh-CN"/>
                    </w:rPr>
                    <w:t>31</w:t>
                  </w:r>
                </w:p>
              </w:tc>
              <w:tc>
                <w:tcPr>
                  <w:tcW w:w="603" w:type="dxa"/>
                  <w:noWrap w:val="0"/>
                  <w:vAlign w:val="center"/>
                </w:tcPr>
                <w:p w14:paraId="282B3499">
                  <w:pPr>
                    <w:widowControl/>
                    <w:jc w:val="center"/>
                    <w:textAlignment w:val="center"/>
                    <w:rPr>
                      <w:rFonts w:hint="default"/>
                      <w:szCs w:val="21"/>
                      <w:highlight w:val="none"/>
                      <w:lang w:val="en-US" w:eastAsia="zh-CN"/>
                    </w:rPr>
                  </w:pPr>
                  <w:r>
                    <w:rPr>
                      <w:rFonts w:hint="eastAsia"/>
                      <w:szCs w:val="21"/>
                      <w:highlight w:val="none"/>
                      <w:lang w:val="en-US" w:eastAsia="zh-CN"/>
                    </w:rPr>
                    <w:t>27</w:t>
                  </w:r>
                </w:p>
              </w:tc>
              <w:tc>
                <w:tcPr>
                  <w:tcW w:w="595" w:type="dxa"/>
                  <w:noWrap w:val="0"/>
                  <w:vAlign w:val="center"/>
                </w:tcPr>
                <w:p w14:paraId="2F8D6570">
                  <w:pPr>
                    <w:widowControl/>
                    <w:jc w:val="center"/>
                    <w:textAlignment w:val="center"/>
                    <w:rPr>
                      <w:rFonts w:hint="default"/>
                      <w:szCs w:val="21"/>
                      <w:highlight w:val="none"/>
                      <w:lang w:val="en-US" w:eastAsia="zh-CN"/>
                    </w:rPr>
                  </w:pPr>
                  <w:r>
                    <w:rPr>
                      <w:rFonts w:hint="eastAsia"/>
                      <w:szCs w:val="21"/>
                      <w:highlight w:val="none"/>
                      <w:lang w:val="en-US" w:eastAsia="zh-CN"/>
                    </w:rPr>
                    <w:t>35</w:t>
                  </w:r>
                </w:p>
              </w:tc>
              <w:tc>
                <w:tcPr>
                  <w:tcW w:w="595" w:type="dxa"/>
                  <w:noWrap w:val="0"/>
                  <w:vAlign w:val="center"/>
                </w:tcPr>
                <w:p w14:paraId="52435AE6">
                  <w:pPr>
                    <w:widowControl/>
                    <w:jc w:val="center"/>
                    <w:textAlignment w:val="center"/>
                    <w:rPr>
                      <w:rFonts w:hint="default"/>
                      <w:szCs w:val="21"/>
                      <w:highlight w:val="none"/>
                      <w:lang w:val="en-US" w:eastAsia="zh-CN"/>
                    </w:rPr>
                  </w:pPr>
                  <w:r>
                    <w:rPr>
                      <w:rFonts w:hint="eastAsia"/>
                      <w:szCs w:val="21"/>
                      <w:highlight w:val="none"/>
                      <w:lang w:val="en-US" w:eastAsia="zh-CN"/>
                    </w:rPr>
                    <w:t>36</w:t>
                  </w:r>
                </w:p>
              </w:tc>
              <w:tc>
                <w:tcPr>
                  <w:tcW w:w="1085" w:type="dxa"/>
                  <w:noWrap w:val="0"/>
                  <w:vAlign w:val="center"/>
                </w:tcPr>
                <w:p w14:paraId="4FFDB168">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32</w:t>
                  </w:r>
                </w:p>
              </w:tc>
              <w:tc>
                <w:tcPr>
                  <w:tcW w:w="711" w:type="dxa"/>
                  <w:tcBorders>
                    <w:right w:val="nil"/>
                  </w:tcBorders>
                  <w:noWrap w:val="0"/>
                  <w:vAlign w:val="center"/>
                </w:tcPr>
                <w:p w14:paraId="1F438363">
                  <w:pPr>
                    <w:spacing w:line="0" w:lineRule="atLeast"/>
                    <w:jc w:val="center"/>
                    <w:rPr>
                      <w:rFonts w:hint="eastAsia"/>
                      <w:color w:val="000000"/>
                      <w:spacing w:val="-10"/>
                      <w:szCs w:val="21"/>
                      <w:highlight w:val="none"/>
                      <w:lang w:val="en-US" w:eastAsia="zh-CN"/>
                    </w:rPr>
                  </w:pPr>
                  <w:r>
                    <w:rPr>
                      <w:rFonts w:hint="eastAsia"/>
                      <w:color w:val="000000"/>
                      <w:spacing w:val="-10"/>
                      <w:szCs w:val="21"/>
                      <w:highlight w:val="none"/>
                      <w:lang w:val="en-US" w:eastAsia="zh-CN"/>
                    </w:rPr>
                    <w:t>400</w:t>
                  </w:r>
                </w:p>
              </w:tc>
            </w:tr>
            <w:tr w14:paraId="29FA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458A8F85">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5C97F420">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05825D30">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化学需氧量，mg/L</w:t>
                  </w:r>
                </w:p>
              </w:tc>
              <w:tc>
                <w:tcPr>
                  <w:tcW w:w="586" w:type="dxa"/>
                  <w:noWrap w:val="0"/>
                  <w:vAlign w:val="center"/>
                </w:tcPr>
                <w:p w14:paraId="470166F3">
                  <w:pPr>
                    <w:widowControl/>
                    <w:jc w:val="center"/>
                    <w:textAlignment w:val="center"/>
                    <w:rPr>
                      <w:rFonts w:hint="default"/>
                      <w:szCs w:val="21"/>
                      <w:highlight w:val="none"/>
                      <w:lang w:val="en-US" w:eastAsia="zh-CN"/>
                    </w:rPr>
                  </w:pPr>
                  <w:r>
                    <w:rPr>
                      <w:rFonts w:hint="eastAsia"/>
                      <w:szCs w:val="21"/>
                      <w:highlight w:val="none"/>
                      <w:lang w:val="en-US" w:eastAsia="zh-CN"/>
                    </w:rPr>
                    <w:t>72</w:t>
                  </w:r>
                </w:p>
              </w:tc>
              <w:tc>
                <w:tcPr>
                  <w:tcW w:w="603" w:type="dxa"/>
                  <w:noWrap w:val="0"/>
                  <w:vAlign w:val="center"/>
                </w:tcPr>
                <w:p w14:paraId="31C72232">
                  <w:pPr>
                    <w:widowControl/>
                    <w:jc w:val="center"/>
                    <w:textAlignment w:val="center"/>
                    <w:rPr>
                      <w:rFonts w:hint="default"/>
                      <w:szCs w:val="21"/>
                      <w:highlight w:val="none"/>
                      <w:lang w:val="en-US" w:eastAsia="zh-CN"/>
                    </w:rPr>
                  </w:pPr>
                  <w:r>
                    <w:rPr>
                      <w:rFonts w:hint="eastAsia"/>
                      <w:szCs w:val="21"/>
                      <w:highlight w:val="none"/>
                      <w:lang w:val="en-US" w:eastAsia="zh-CN"/>
                    </w:rPr>
                    <w:t>67</w:t>
                  </w:r>
                </w:p>
              </w:tc>
              <w:tc>
                <w:tcPr>
                  <w:tcW w:w="595" w:type="dxa"/>
                  <w:noWrap w:val="0"/>
                  <w:vAlign w:val="center"/>
                </w:tcPr>
                <w:p w14:paraId="24509CD0">
                  <w:pPr>
                    <w:widowControl/>
                    <w:jc w:val="center"/>
                    <w:textAlignment w:val="center"/>
                    <w:rPr>
                      <w:rFonts w:hint="default"/>
                      <w:szCs w:val="21"/>
                      <w:highlight w:val="none"/>
                      <w:lang w:val="en-US" w:eastAsia="zh-CN"/>
                    </w:rPr>
                  </w:pPr>
                  <w:r>
                    <w:rPr>
                      <w:rFonts w:hint="eastAsia"/>
                      <w:szCs w:val="21"/>
                      <w:highlight w:val="none"/>
                      <w:lang w:val="en-US" w:eastAsia="zh-CN"/>
                    </w:rPr>
                    <w:t>64</w:t>
                  </w:r>
                </w:p>
              </w:tc>
              <w:tc>
                <w:tcPr>
                  <w:tcW w:w="595" w:type="dxa"/>
                  <w:noWrap w:val="0"/>
                  <w:vAlign w:val="center"/>
                </w:tcPr>
                <w:p w14:paraId="2103D55A">
                  <w:pPr>
                    <w:widowControl/>
                    <w:jc w:val="center"/>
                    <w:textAlignment w:val="center"/>
                    <w:rPr>
                      <w:rFonts w:hint="default"/>
                      <w:szCs w:val="21"/>
                      <w:highlight w:val="none"/>
                      <w:lang w:val="en-US" w:eastAsia="zh-CN"/>
                    </w:rPr>
                  </w:pPr>
                  <w:r>
                    <w:rPr>
                      <w:rFonts w:hint="eastAsia"/>
                      <w:szCs w:val="21"/>
                      <w:highlight w:val="none"/>
                      <w:lang w:val="en-US" w:eastAsia="zh-CN"/>
                    </w:rPr>
                    <w:t>74</w:t>
                  </w:r>
                </w:p>
              </w:tc>
              <w:tc>
                <w:tcPr>
                  <w:tcW w:w="1085" w:type="dxa"/>
                  <w:noWrap w:val="0"/>
                  <w:vAlign w:val="center"/>
                </w:tcPr>
                <w:p w14:paraId="78ABB752">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69</w:t>
                  </w:r>
                </w:p>
              </w:tc>
              <w:tc>
                <w:tcPr>
                  <w:tcW w:w="711" w:type="dxa"/>
                  <w:tcBorders>
                    <w:right w:val="nil"/>
                  </w:tcBorders>
                  <w:noWrap w:val="0"/>
                  <w:vAlign w:val="center"/>
                </w:tcPr>
                <w:p w14:paraId="5A009093">
                  <w:pPr>
                    <w:spacing w:line="0" w:lineRule="atLeast"/>
                    <w:jc w:val="center"/>
                    <w:rPr>
                      <w:rFonts w:hint="eastAsia"/>
                      <w:color w:val="000000"/>
                      <w:spacing w:val="-10"/>
                      <w:szCs w:val="21"/>
                      <w:highlight w:val="none"/>
                      <w:lang w:val="en-US" w:eastAsia="zh-CN"/>
                    </w:rPr>
                  </w:pPr>
                  <w:r>
                    <w:rPr>
                      <w:rFonts w:hint="eastAsia"/>
                      <w:color w:val="000000"/>
                      <w:spacing w:val="-10"/>
                      <w:szCs w:val="21"/>
                      <w:highlight w:val="none"/>
                      <w:lang w:val="en-US" w:eastAsia="zh-CN"/>
                    </w:rPr>
                    <w:t>500</w:t>
                  </w:r>
                </w:p>
              </w:tc>
            </w:tr>
            <w:tr w14:paraId="71C5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restart"/>
                  <w:tcBorders>
                    <w:left w:val="nil"/>
                  </w:tcBorders>
                  <w:noWrap w:val="0"/>
                  <w:vAlign w:val="center"/>
                </w:tcPr>
                <w:p w14:paraId="604CB654">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20</w:t>
                  </w:r>
                  <w:r>
                    <w:rPr>
                      <w:rFonts w:hint="eastAsia" w:ascii="Times New Roman" w:hAnsi="Times New Roman" w:eastAsia="宋体" w:cs="Times New Roman"/>
                      <w:szCs w:val="21"/>
                      <w:highlight w:val="none"/>
                      <w:lang w:val="en-US" w:eastAsia="zh-CN"/>
                    </w:rPr>
                    <w:t>11</w:t>
                  </w:r>
                  <w:r>
                    <w:rPr>
                      <w:rFonts w:hint="default" w:ascii="Times New Roman" w:hAnsi="Times New Roman" w:eastAsia="宋体" w:cs="Times New Roman"/>
                      <w:szCs w:val="21"/>
                      <w:highlight w:val="none"/>
                    </w:rPr>
                    <w:t>.</w:t>
                  </w:r>
                  <w:r>
                    <w:rPr>
                      <w:rFonts w:hint="eastAsia" w:cs="Times New Roman"/>
                      <w:szCs w:val="21"/>
                      <w:highlight w:val="none"/>
                      <w:lang w:val="en-US" w:eastAsia="zh-CN"/>
                    </w:rPr>
                    <w:t>3</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22</w:t>
                  </w:r>
                </w:p>
              </w:tc>
              <w:tc>
                <w:tcPr>
                  <w:tcW w:w="923" w:type="dxa"/>
                  <w:vMerge w:val="restart"/>
                  <w:noWrap w:val="0"/>
                  <w:vAlign w:val="center"/>
                </w:tcPr>
                <w:p w14:paraId="76A0E736">
                  <w:pPr>
                    <w:spacing w:before="62" w:beforeLines="20" w:after="62" w:afterLines="20" w:line="0" w:lineRule="atLeast"/>
                    <w:jc w:val="center"/>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生活废水排放口</w:t>
                  </w:r>
                </w:p>
              </w:tc>
              <w:tc>
                <w:tcPr>
                  <w:tcW w:w="2059" w:type="dxa"/>
                  <w:noWrap w:val="0"/>
                  <w:vAlign w:val="center"/>
                </w:tcPr>
                <w:p w14:paraId="00A61D6B">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pH，无量纲</w:t>
                  </w:r>
                </w:p>
              </w:tc>
              <w:tc>
                <w:tcPr>
                  <w:tcW w:w="586" w:type="dxa"/>
                  <w:noWrap w:val="0"/>
                  <w:vAlign w:val="center"/>
                </w:tcPr>
                <w:p w14:paraId="689185C7">
                  <w:pPr>
                    <w:widowControl/>
                    <w:jc w:val="center"/>
                    <w:textAlignment w:val="center"/>
                    <w:rPr>
                      <w:rFonts w:hint="default"/>
                      <w:szCs w:val="21"/>
                      <w:highlight w:val="none"/>
                      <w:lang w:val="en-US" w:eastAsia="zh-CN"/>
                    </w:rPr>
                  </w:pPr>
                  <w:r>
                    <w:rPr>
                      <w:rFonts w:hint="eastAsia"/>
                      <w:szCs w:val="21"/>
                      <w:highlight w:val="none"/>
                      <w:lang w:val="en-US" w:eastAsia="zh-CN"/>
                    </w:rPr>
                    <w:t>7.62</w:t>
                  </w:r>
                </w:p>
              </w:tc>
              <w:tc>
                <w:tcPr>
                  <w:tcW w:w="603" w:type="dxa"/>
                  <w:noWrap w:val="0"/>
                  <w:vAlign w:val="center"/>
                </w:tcPr>
                <w:p w14:paraId="1DF97932">
                  <w:pPr>
                    <w:widowControl/>
                    <w:jc w:val="center"/>
                    <w:textAlignment w:val="center"/>
                    <w:rPr>
                      <w:rFonts w:hint="default"/>
                      <w:szCs w:val="21"/>
                      <w:highlight w:val="none"/>
                      <w:lang w:val="en-US" w:eastAsia="zh-CN"/>
                    </w:rPr>
                  </w:pPr>
                  <w:r>
                    <w:rPr>
                      <w:rFonts w:hint="eastAsia"/>
                      <w:szCs w:val="21"/>
                      <w:highlight w:val="none"/>
                      <w:lang w:val="en-US" w:eastAsia="zh-CN"/>
                    </w:rPr>
                    <w:t>7.70</w:t>
                  </w:r>
                </w:p>
              </w:tc>
              <w:tc>
                <w:tcPr>
                  <w:tcW w:w="595" w:type="dxa"/>
                  <w:noWrap w:val="0"/>
                  <w:vAlign w:val="center"/>
                </w:tcPr>
                <w:p w14:paraId="4007D82B">
                  <w:pPr>
                    <w:widowControl/>
                    <w:jc w:val="center"/>
                    <w:textAlignment w:val="center"/>
                    <w:rPr>
                      <w:rFonts w:hint="default"/>
                      <w:szCs w:val="21"/>
                      <w:highlight w:val="none"/>
                      <w:lang w:val="en-US" w:eastAsia="zh-CN"/>
                    </w:rPr>
                  </w:pPr>
                  <w:r>
                    <w:rPr>
                      <w:rFonts w:hint="eastAsia"/>
                      <w:szCs w:val="21"/>
                      <w:highlight w:val="none"/>
                      <w:lang w:val="en-US" w:eastAsia="zh-CN"/>
                    </w:rPr>
                    <w:t>7.72</w:t>
                  </w:r>
                </w:p>
              </w:tc>
              <w:tc>
                <w:tcPr>
                  <w:tcW w:w="595" w:type="dxa"/>
                  <w:noWrap w:val="0"/>
                  <w:vAlign w:val="center"/>
                </w:tcPr>
                <w:p w14:paraId="77DCADC4">
                  <w:pPr>
                    <w:widowControl/>
                    <w:jc w:val="center"/>
                    <w:textAlignment w:val="center"/>
                    <w:rPr>
                      <w:rFonts w:hint="default"/>
                      <w:szCs w:val="21"/>
                      <w:highlight w:val="none"/>
                      <w:lang w:val="en-US" w:eastAsia="zh-CN"/>
                    </w:rPr>
                  </w:pPr>
                  <w:r>
                    <w:rPr>
                      <w:rFonts w:hint="eastAsia"/>
                      <w:szCs w:val="21"/>
                      <w:highlight w:val="none"/>
                      <w:lang w:val="en-US" w:eastAsia="zh-CN"/>
                    </w:rPr>
                    <w:t>7.68</w:t>
                  </w:r>
                </w:p>
              </w:tc>
              <w:tc>
                <w:tcPr>
                  <w:tcW w:w="1085" w:type="dxa"/>
                  <w:noWrap w:val="0"/>
                  <w:vAlign w:val="center"/>
                </w:tcPr>
                <w:p w14:paraId="4F6E0310">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7.62~7.72</w:t>
                  </w:r>
                </w:p>
              </w:tc>
              <w:tc>
                <w:tcPr>
                  <w:tcW w:w="711" w:type="dxa"/>
                  <w:tcBorders>
                    <w:right w:val="nil"/>
                  </w:tcBorders>
                  <w:noWrap w:val="0"/>
                  <w:vAlign w:val="center"/>
                </w:tcPr>
                <w:p w14:paraId="1937FCFE">
                  <w:pPr>
                    <w:spacing w:line="0" w:lineRule="atLeast"/>
                    <w:jc w:val="center"/>
                    <w:rPr>
                      <w:rFonts w:hint="eastAsia"/>
                      <w:color w:val="000000"/>
                      <w:spacing w:val="-10"/>
                      <w:kern w:val="2"/>
                      <w:sz w:val="21"/>
                      <w:szCs w:val="21"/>
                      <w:highlight w:val="none"/>
                      <w:lang w:val="en-US" w:eastAsia="zh-CN" w:bidi="ar-SA"/>
                    </w:rPr>
                  </w:pPr>
                  <w:r>
                    <w:rPr>
                      <w:rFonts w:hint="eastAsia"/>
                      <w:color w:val="000000"/>
                      <w:spacing w:val="-10"/>
                      <w:szCs w:val="21"/>
                      <w:highlight w:val="none"/>
                      <w:lang w:val="en-US" w:eastAsia="zh-CN"/>
                    </w:rPr>
                    <w:t>6~9</w:t>
                  </w:r>
                </w:p>
              </w:tc>
            </w:tr>
            <w:tr w14:paraId="5FEE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34AC2F2E">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12D81C81">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44633C4A">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悬浮物，mg/L</w:t>
                  </w:r>
                </w:p>
              </w:tc>
              <w:tc>
                <w:tcPr>
                  <w:tcW w:w="586" w:type="dxa"/>
                  <w:noWrap w:val="0"/>
                  <w:vAlign w:val="center"/>
                </w:tcPr>
                <w:p w14:paraId="61D3E540">
                  <w:pPr>
                    <w:widowControl/>
                    <w:jc w:val="center"/>
                    <w:textAlignment w:val="center"/>
                    <w:rPr>
                      <w:rFonts w:hint="default"/>
                      <w:szCs w:val="21"/>
                      <w:highlight w:val="none"/>
                      <w:lang w:val="en-US" w:eastAsia="zh-CN"/>
                    </w:rPr>
                  </w:pPr>
                  <w:r>
                    <w:rPr>
                      <w:rFonts w:hint="eastAsia"/>
                      <w:szCs w:val="21"/>
                      <w:highlight w:val="none"/>
                      <w:lang w:val="en-US" w:eastAsia="zh-CN"/>
                    </w:rPr>
                    <w:t>68</w:t>
                  </w:r>
                </w:p>
              </w:tc>
              <w:tc>
                <w:tcPr>
                  <w:tcW w:w="603" w:type="dxa"/>
                  <w:noWrap w:val="0"/>
                  <w:vAlign w:val="center"/>
                </w:tcPr>
                <w:p w14:paraId="3C8E5D2C">
                  <w:pPr>
                    <w:widowControl/>
                    <w:jc w:val="center"/>
                    <w:textAlignment w:val="center"/>
                    <w:rPr>
                      <w:rFonts w:hint="default"/>
                      <w:szCs w:val="21"/>
                      <w:highlight w:val="none"/>
                      <w:lang w:val="en-US" w:eastAsia="zh-CN"/>
                    </w:rPr>
                  </w:pPr>
                  <w:r>
                    <w:rPr>
                      <w:rFonts w:hint="eastAsia"/>
                      <w:szCs w:val="21"/>
                      <w:highlight w:val="none"/>
                      <w:lang w:val="en-US" w:eastAsia="zh-CN"/>
                    </w:rPr>
                    <w:t>81</w:t>
                  </w:r>
                </w:p>
              </w:tc>
              <w:tc>
                <w:tcPr>
                  <w:tcW w:w="595" w:type="dxa"/>
                  <w:noWrap w:val="0"/>
                  <w:vAlign w:val="center"/>
                </w:tcPr>
                <w:p w14:paraId="786BC619">
                  <w:pPr>
                    <w:widowControl/>
                    <w:jc w:val="center"/>
                    <w:textAlignment w:val="center"/>
                    <w:rPr>
                      <w:rFonts w:hint="default"/>
                      <w:szCs w:val="21"/>
                      <w:highlight w:val="none"/>
                      <w:lang w:val="en-US" w:eastAsia="zh-CN"/>
                    </w:rPr>
                  </w:pPr>
                  <w:r>
                    <w:rPr>
                      <w:rFonts w:hint="eastAsia"/>
                      <w:szCs w:val="21"/>
                      <w:highlight w:val="none"/>
                      <w:lang w:val="en-US" w:eastAsia="zh-CN"/>
                    </w:rPr>
                    <w:t>76</w:t>
                  </w:r>
                </w:p>
              </w:tc>
              <w:tc>
                <w:tcPr>
                  <w:tcW w:w="595" w:type="dxa"/>
                  <w:noWrap w:val="0"/>
                  <w:vAlign w:val="center"/>
                </w:tcPr>
                <w:p w14:paraId="3B5F205B">
                  <w:pPr>
                    <w:widowControl/>
                    <w:jc w:val="center"/>
                    <w:textAlignment w:val="center"/>
                    <w:rPr>
                      <w:rFonts w:hint="default"/>
                      <w:szCs w:val="21"/>
                      <w:highlight w:val="none"/>
                      <w:lang w:val="en-US" w:eastAsia="zh-CN"/>
                    </w:rPr>
                  </w:pPr>
                  <w:r>
                    <w:rPr>
                      <w:rFonts w:hint="eastAsia"/>
                      <w:szCs w:val="21"/>
                      <w:highlight w:val="none"/>
                      <w:lang w:val="en-US" w:eastAsia="zh-CN"/>
                    </w:rPr>
                    <w:t>64</w:t>
                  </w:r>
                </w:p>
              </w:tc>
              <w:tc>
                <w:tcPr>
                  <w:tcW w:w="1085" w:type="dxa"/>
                  <w:noWrap w:val="0"/>
                  <w:vAlign w:val="center"/>
                </w:tcPr>
                <w:p w14:paraId="47898A8F">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72</w:t>
                  </w:r>
                </w:p>
              </w:tc>
              <w:tc>
                <w:tcPr>
                  <w:tcW w:w="711" w:type="dxa"/>
                  <w:tcBorders>
                    <w:right w:val="nil"/>
                  </w:tcBorders>
                  <w:noWrap w:val="0"/>
                  <w:vAlign w:val="center"/>
                </w:tcPr>
                <w:p w14:paraId="105AC433">
                  <w:pPr>
                    <w:spacing w:line="0" w:lineRule="atLeast"/>
                    <w:jc w:val="center"/>
                    <w:rPr>
                      <w:rFonts w:hint="eastAsia"/>
                      <w:color w:val="000000"/>
                      <w:spacing w:val="-10"/>
                      <w:kern w:val="2"/>
                      <w:sz w:val="21"/>
                      <w:szCs w:val="21"/>
                      <w:highlight w:val="none"/>
                      <w:lang w:val="en-US" w:eastAsia="zh-CN" w:bidi="ar-SA"/>
                    </w:rPr>
                  </w:pPr>
                  <w:r>
                    <w:rPr>
                      <w:rFonts w:hint="eastAsia"/>
                      <w:color w:val="000000"/>
                      <w:spacing w:val="-10"/>
                      <w:szCs w:val="21"/>
                      <w:highlight w:val="none"/>
                      <w:lang w:val="en-US" w:eastAsia="zh-CN"/>
                    </w:rPr>
                    <w:t>400</w:t>
                  </w:r>
                </w:p>
              </w:tc>
            </w:tr>
            <w:tr w14:paraId="3F0E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18FCA2EB">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0FA375F4">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7176385A">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化学需氧量，mg/L</w:t>
                  </w:r>
                </w:p>
              </w:tc>
              <w:tc>
                <w:tcPr>
                  <w:tcW w:w="586" w:type="dxa"/>
                  <w:noWrap w:val="0"/>
                  <w:vAlign w:val="center"/>
                </w:tcPr>
                <w:p w14:paraId="4865B26B">
                  <w:pPr>
                    <w:widowControl/>
                    <w:jc w:val="center"/>
                    <w:textAlignment w:val="center"/>
                    <w:rPr>
                      <w:rFonts w:hint="default"/>
                      <w:szCs w:val="21"/>
                      <w:highlight w:val="none"/>
                      <w:lang w:val="en-US" w:eastAsia="zh-CN"/>
                    </w:rPr>
                  </w:pPr>
                  <w:r>
                    <w:rPr>
                      <w:rFonts w:hint="eastAsia"/>
                      <w:szCs w:val="21"/>
                      <w:highlight w:val="none"/>
                      <w:lang w:val="en-US" w:eastAsia="zh-CN"/>
                    </w:rPr>
                    <w:t>264</w:t>
                  </w:r>
                </w:p>
              </w:tc>
              <w:tc>
                <w:tcPr>
                  <w:tcW w:w="603" w:type="dxa"/>
                  <w:noWrap w:val="0"/>
                  <w:vAlign w:val="center"/>
                </w:tcPr>
                <w:p w14:paraId="4F058247">
                  <w:pPr>
                    <w:widowControl/>
                    <w:jc w:val="center"/>
                    <w:textAlignment w:val="center"/>
                    <w:rPr>
                      <w:rFonts w:hint="default"/>
                      <w:szCs w:val="21"/>
                      <w:highlight w:val="none"/>
                      <w:lang w:val="en-US" w:eastAsia="zh-CN"/>
                    </w:rPr>
                  </w:pPr>
                  <w:r>
                    <w:rPr>
                      <w:rFonts w:hint="eastAsia"/>
                      <w:szCs w:val="21"/>
                      <w:highlight w:val="none"/>
                      <w:lang w:val="en-US" w:eastAsia="zh-CN"/>
                    </w:rPr>
                    <w:t>253</w:t>
                  </w:r>
                </w:p>
              </w:tc>
              <w:tc>
                <w:tcPr>
                  <w:tcW w:w="595" w:type="dxa"/>
                  <w:noWrap w:val="0"/>
                  <w:vAlign w:val="center"/>
                </w:tcPr>
                <w:p w14:paraId="0182CADB">
                  <w:pPr>
                    <w:widowControl/>
                    <w:jc w:val="center"/>
                    <w:textAlignment w:val="center"/>
                    <w:rPr>
                      <w:rFonts w:hint="default"/>
                      <w:szCs w:val="21"/>
                      <w:highlight w:val="none"/>
                      <w:lang w:val="en-US" w:eastAsia="zh-CN"/>
                    </w:rPr>
                  </w:pPr>
                  <w:r>
                    <w:rPr>
                      <w:rFonts w:hint="eastAsia"/>
                      <w:szCs w:val="21"/>
                      <w:highlight w:val="none"/>
                      <w:lang w:val="en-US" w:eastAsia="zh-CN"/>
                    </w:rPr>
                    <w:t>258</w:t>
                  </w:r>
                </w:p>
              </w:tc>
              <w:tc>
                <w:tcPr>
                  <w:tcW w:w="595" w:type="dxa"/>
                  <w:noWrap w:val="0"/>
                  <w:vAlign w:val="center"/>
                </w:tcPr>
                <w:p w14:paraId="49BA7D9C">
                  <w:pPr>
                    <w:widowControl/>
                    <w:jc w:val="center"/>
                    <w:textAlignment w:val="center"/>
                    <w:rPr>
                      <w:rFonts w:hint="default"/>
                      <w:szCs w:val="21"/>
                      <w:highlight w:val="none"/>
                      <w:lang w:val="en-US" w:eastAsia="zh-CN"/>
                    </w:rPr>
                  </w:pPr>
                  <w:r>
                    <w:rPr>
                      <w:rFonts w:hint="eastAsia"/>
                      <w:szCs w:val="21"/>
                      <w:highlight w:val="none"/>
                      <w:lang w:val="en-US" w:eastAsia="zh-CN"/>
                    </w:rPr>
                    <w:t>270</w:t>
                  </w:r>
                </w:p>
              </w:tc>
              <w:tc>
                <w:tcPr>
                  <w:tcW w:w="1085" w:type="dxa"/>
                  <w:noWrap w:val="0"/>
                  <w:vAlign w:val="center"/>
                </w:tcPr>
                <w:p w14:paraId="470E1CE9">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261</w:t>
                  </w:r>
                </w:p>
              </w:tc>
              <w:tc>
                <w:tcPr>
                  <w:tcW w:w="711" w:type="dxa"/>
                  <w:tcBorders>
                    <w:right w:val="nil"/>
                  </w:tcBorders>
                  <w:noWrap w:val="0"/>
                  <w:vAlign w:val="center"/>
                </w:tcPr>
                <w:p w14:paraId="383865C5">
                  <w:pPr>
                    <w:spacing w:line="0" w:lineRule="atLeast"/>
                    <w:jc w:val="center"/>
                    <w:rPr>
                      <w:rFonts w:hint="eastAsia"/>
                      <w:color w:val="000000"/>
                      <w:spacing w:val="-10"/>
                      <w:kern w:val="2"/>
                      <w:sz w:val="21"/>
                      <w:szCs w:val="21"/>
                      <w:highlight w:val="none"/>
                      <w:lang w:val="en-US" w:eastAsia="zh-CN" w:bidi="ar-SA"/>
                    </w:rPr>
                  </w:pPr>
                  <w:r>
                    <w:rPr>
                      <w:rFonts w:hint="eastAsia"/>
                      <w:color w:val="000000"/>
                      <w:spacing w:val="-10"/>
                      <w:szCs w:val="21"/>
                      <w:highlight w:val="none"/>
                      <w:lang w:val="en-US" w:eastAsia="zh-CN"/>
                    </w:rPr>
                    <w:t>500</w:t>
                  </w:r>
                </w:p>
              </w:tc>
            </w:tr>
            <w:tr w14:paraId="3AFE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restart"/>
                  <w:tcBorders>
                    <w:left w:val="nil"/>
                  </w:tcBorders>
                  <w:noWrap w:val="0"/>
                  <w:vAlign w:val="center"/>
                </w:tcPr>
                <w:p w14:paraId="23C6C7CB">
                  <w:pPr>
                    <w:spacing w:before="62" w:beforeLines="20" w:after="62" w:afterLines="20" w:line="0" w:lineRule="atLeast"/>
                    <w:jc w:val="center"/>
                    <w:rPr>
                      <w:rFonts w:hint="default" w:ascii="Times New Roman" w:hAnsi="Times New Roman" w:eastAsia="宋体" w:cs="Times New Roman"/>
                      <w:highlight w:val="none"/>
                    </w:rPr>
                  </w:pPr>
                  <w:r>
                    <w:rPr>
                      <w:rFonts w:hint="eastAsia" w:ascii="Times New Roman" w:hAnsi="Times New Roman" w:eastAsia="宋体" w:cs="Times New Roman"/>
                      <w:highlight w:val="none"/>
                      <w:lang w:val="en-US" w:eastAsia="zh-CN"/>
                    </w:rPr>
                    <w:t>2011.3.23</w:t>
                  </w:r>
                </w:p>
              </w:tc>
              <w:tc>
                <w:tcPr>
                  <w:tcW w:w="923" w:type="dxa"/>
                  <w:vMerge w:val="restart"/>
                  <w:noWrap w:val="0"/>
                  <w:vAlign w:val="center"/>
                </w:tcPr>
                <w:p w14:paraId="7A1E87D7">
                  <w:pPr>
                    <w:spacing w:before="62" w:beforeLines="20" w:after="62" w:afterLines="20" w:line="0" w:lineRule="atLeast"/>
                    <w:jc w:val="center"/>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生活废水排放口</w:t>
                  </w:r>
                </w:p>
              </w:tc>
              <w:tc>
                <w:tcPr>
                  <w:tcW w:w="2059" w:type="dxa"/>
                  <w:noWrap w:val="0"/>
                  <w:vAlign w:val="center"/>
                </w:tcPr>
                <w:p w14:paraId="0056943E">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pH，无量纲</w:t>
                  </w:r>
                </w:p>
              </w:tc>
              <w:tc>
                <w:tcPr>
                  <w:tcW w:w="586" w:type="dxa"/>
                  <w:noWrap w:val="0"/>
                  <w:vAlign w:val="center"/>
                </w:tcPr>
                <w:p w14:paraId="34EEF594">
                  <w:pPr>
                    <w:widowControl/>
                    <w:jc w:val="center"/>
                    <w:textAlignment w:val="center"/>
                    <w:rPr>
                      <w:rFonts w:hint="default"/>
                      <w:szCs w:val="21"/>
                      <w:highlight w:val="none"/>
                      <w:lang w:val="en-US" w:eastAsia="zh-CN"/>
                    </w:rPr>
                  </w:pPr>
                  <w:r>
                    <w:rPr>
                      <w:rFonts w:hint="eastAsia"/>
                      <w:szCs w:val="21"/>
                      <w:highlight w:val="none"/>
                      <w:lang w:val="en-US" w:eastAsia="zh-CN"/>
                    </w:rPr>
                    <w:t>7.59</w:t>
                  </w:r>
                </w:p>
              </w:tc>
              <w:tc>
                <w:tcPr>
                  <w:tcW w:w="603" w:type="dxa"/>
                  <w:noWrap w:val="0"/>
                  <w:vAlign w:val="center"/>
                </w:tcPr>
                <w:p w14:paraId="4693A670">
                  <w:pPr>
                    <w:widowControl/>
                    <w:jc w:val="center"/>
                    <w:textAlignment w:val="center"/>
                    <w:rPr>
                      <w:rFonts w:hint="default"/>
                      <w:szCs w:val="21"/>
                      <w:highlight w:val="none"/>
                      <w:lang w:val="en-US" w:eastAsia="zh-CN"/>
                    </w:rPr>
                  </w:pPr>
                  <w:r>
                    <w:rPr>
                      <w:rFonts w:hint="eastAsia"/>
                      <w:szCs w:val="21"/>
                      <w:highlight w:val="none"/>
                      <w:lang w:val="en-US" w:eastAsia="zh-CN"/>
                    </w:rPr>
                    <w:t>7.66</w:t>
                  </w:r>
                </w:p>
              </w:tc>
              <w:tc>
                <w:tcPr>
                  <w:tcW w:w="595" w:type="dxa"/>
                  <w:noWrap w:val="0"/>
                  <w:vAlign w:val="center"/>
                </w:tcPr>
                <w:p w14:paraId="2F7D5923">
                  <w:pPr>
                    <w:widowControl/>
                    <w:jc w:val="center"/>
                    <w:textAlignment w:val="center"/>
                    <w:rPr>
                      <w:rFonts w:hint="default"/>
                      <w:szCs w:val="21"/>
                      <w:highlight w:val="none"/>
                      <w:lang w:val="en-US" w:eastAsia="zh-CN"/>
                    </w:rPr>
                  </w:pPr>
                  <w:r>
                    <w:rPr>
                      <w:rFonts w:hint="eastAsia"/>
                      <w:szCs w:val="21"/>
                      <w:highlight w:val="none"/>
                      <w:lang w:val="en-US" w:eastAsia="zh-CN"/>
                    </w:rPr>
                    <w:t>7.73</w:t>
                  </w:r>
                </w:p>
              </w:tc>
              <w:tc>
                <w:tcPr>
                  <w:tcW w:w="595" w:type="dxa"/>
                  <w:noWrap w:val="0"/>
                  <w:vAlign w:val="center"/>
                </w:tcPr>
                <w:p w14:paraId="660C96D1">
                  <w:pPr>
                    <w:widowControl/>
                    <w:jc w:val="center"/>
                    <w:textAlignment w:val="center"/>
                    <w:rPr>
                      <w:rFonts w:hint="default"/>
                      <w:szCs w:val="21"/>
                      <w:highlight w:val="none"/>
                      <w:lang w:val="en-US" w:eastAsia="zh-CN"/>
                    </w:rPr>
                  </w:pPr>
                  <w:r>
                    <w:rPr>
                      <w:rFonts w:hint="eastAsia"/>
                      <w:szCs w:val="21"/>
                      <w:highlight w:val="none"/>
                      <w:lang w:val="en-US" w:eastAsia="zh-CN"/>
                    </w:rPr>
                    <w:t>7.69</w:t>
                  </w:r>
                </w:p>
              </w:tc>
              <w:tc>
                <w:tcPr>
                  <w:tcW w:w="1085" w:type="dxa"/>
                  <w:noWrap w:val="0"/>
                  <w:vAlign w:val="center"/>
                </w:tcPr>
                <w:p w14:paraId="2F31BD1E">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7.59~7.73</w:t>
                  </w:r>
                </w:p>
              </w:tc>
              <w:tc>
                <w:tcPr>
                  <w:tcW w:w="711" w:type="dxa"/>
                  <w:tcBorders>
                    <w:right w:val="nil"/>
                  </w:tcBorders>
                  <w:noWrap w:val="0"/>
                  <w:vAlign w:val="center"/>
                </w:tcPr>
                <w:p w14:paraId="2BF0BFB8">
                  <w:pPr>
                    <w:spacing w:line="0" w:lineRule="atLeast"/>
                    <w:jc w:val="center"/>
                    <w:rPr>
                      <w:rFonts w:hint="eastAsia"/>
                      <w:color w:val="000000"/>
                      <w:spacing w:val="-10"/>
                      <w:kern w:val="2"/>
                      <w:sz w:val="21"/>
                      <w:szCs w:val="21"/>
                      <w:highlight w:val="none"/>
                      <w:lang w:val="en-US" w:eastAsia="zh-CN" w:bidi="ar-SA"/>
                    </w:rPr>
                  </w:pPr>
                  <w:r>
                    <w:rPr>
                      <w:rFonts w:hint="eastAsia"/>
                      <w:color w:val="000000"/>
                      <w:spacing w:val="-10"/>
                      <w:szCs w:val="21"/>
                      <w:highlight w:val="none"/>
                      <w:lang w:val="en-US" w:eastAsia="zh-CN"/>
                    </w:rPr>
                    <w:t>6~9</w:t>
                  </w:r>
                </w:p>
              </w:tc>
            </w:tr>
            <w:tr w14:paraId="3E19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6884ED57">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09C9C02E">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27CB8C4B">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悬浮物，mg/L</w:t>
                  </w:r>
                </w:p>
              </w:tc>
              <w:tc>
                <w:tcPr>
                  <w:tcW w:w="586" w:type="dxa"/>
                  <w:noWrap w:val="0"/>
                  <w:vAlign w:val="center"/>
                </w:tcPr>
                <w:p w14:paraId="55777EB2">
                  <w:pPr>
                    <w:widowControl/>
                    <w:jc w:val="center"/>
                    <w:textAlignment w:val="center"/>
                    <w:rPr>
                      <w:rFonts w:hint="default"/>
                      <w:szCs w:val="21"/>
                      <w:highlight w:val="none"/>
                      <w:lang w:val="en-US" w:eastAsia="zh-CN"/>
                    </w:rPr>
                  </w:pPr>
                  <w:r>
                    <w:rPr>
                      <w:rFonts w:hint="eastAsia"/>
                      <w:szCs w:val="21"/>
                      <w:highlight w:val="none"/>
                      <w:lang w:val="en-US" w:eastAsia="zh-CN"/>
                    </w:rPr>
                    <w:t>56</w:t>
                  </w:r>
                </w:p>
              </w:tc>
              <w:tc>
                <w:tcPr>
                  <w:tcW w:w="603" w:type="dxa"/>
                  <w:noWrap w:val="0"/>
                  <w:vAlign w:val="center"/>
                </w:tcPr>
                <w:p w14:paraId="2240B57E">
                  <w:pPr>
                    <w:widowControl/>
                    <w:jc w:val="center"/>
                    <w:textAlignment w:val="center"/>
                    <w:rPr>
                      <w:rFonts w:hint="default"/>
                      <w:szCs w:val="21"/>
                      <w:highlight w:val="none"/>
                      <w:lang w:val="en-US" w:eastAsia="zh-CN"/>
                    </w:rPr>
                  </w:pPr>
                  <w:r>
                    <w:rPr>
                      <w:rFonts w:hint="eastAsia"/>
                      <w:szCs w:val="21"/>
                      <w:highlight w:val="none"/>
                      <w:lang w:val="en-US" w:eastAsia="zh-CN"/>
                    </w:rPr>
                    <w:t>73</w:t>
                  </w:r>
                </w:p>
              </w:tc>
              <w:tc>
                <w:tcPr>
                  <w:tcW w:w="595" w:type="dxa"/>
                  <w:noWrap w:val="0"/>
                  <w:vAlign w:val="center"/>
                </w:tcPr>
                <w:p w14:paraId="641E23D5">
                  <w:pPr>
                    <w:widowControl/>
                    <w:jc w:val="center"/>
                    <w:textAlignment w:val="center"/>
                    <w:rPr>
                      <w:rFonts w:hint="default"/>
                      <w:szCs w:val="21"/>
                      <w:highlight w:val="none"/>
                      <w:lang w:val="en-US" w:eastAsia="zh-CN"/>
                    </w:rPr>
                  </w:pPr>
                  <w:r>
                    <w:rPr>
                      <w:rFonts w:hint="eastAsia"/>
                      <w:szCs w:val="21"/>
                      <w:highlight w:val="none"/>
                      <w:lang w:val="en-US" w:eastAsia="zh-CN"/>
                    </w:rPr>
                    <w:t>69</w:t>
                  </w:r>
                </w:p>
              </w:tc>
              <w:tc>
                <w:tcPr>
                  <w:tcW w:w="595" w:type="dxa"/>
                  <w:noWrap w:val="0"/>
                  <w:vAlign w:val="center"/>
                </w:tcPr>
                <w:p w14:paraId="7A94EE1E">
                  <w:pPr>
                    <w:widowControl/>
                    <w:jc w:val="center"/>
                    <w:textAlignment w:val="center"/>
                    <w:rPr>
                      <w:rFonts w:hint="default"/>
                      <w:szCs w:val="21"/>
                      <w:highlight w:val="none"/>
                      <w:lang w:val="en-US" w:eastAsia="zh-CN"/>
                    </w:rPr>
                  </w:pPr>
                  <w:r>
                    <w:rPr>
                      <w:rFonts w:hint="eastAsia"/>
                      <w:szCs w:val="21"/>
                      <w:highlight w:val="none"/>
                      <w:lang w:val="en-US" w:eastAsia="zh-CN"/>
                    </w:rPr>
                    <w:t>66</w:t>
                  </w:r>
                </w:p>
              </w:tc>
              <w:tc>
                <w:tcPr>
                  <w:tcW w:w="1085" w:type="dxa"/>
                  <w:noWrap w:val="0"/>
                  <w:vAlign w:val="center"/>
                </w:tcPr>
                <w:p w14:paraId="0E0B3140">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66</w:t>
                  </w:r>
                </w:p>
              </w:tc>
              <w:tc>
                <w:tcPr>
                  <w:tcW w:w="711" w:type="dxa"/>
                  <w:tcBorders>
                    <w:right w:val="nil"/>
                  </w:tcBorders>
                  <w:noWrap w:val="0"/>
                  <w:vAlign w:val="center"/>
                </w:tcPr>
                <w:p w14:paraId="5A91CFDA">
                  <w:pPr>
                    <w:spacing w:line="0" w:lineRule="atLeast"/>
                    <w:jc w:val="center"/>
                    <w:rPr>
                      <w:rFonts w:hint="eastAsia"/>
                      <w:color w:val="000000"/>
                      <w:spacing w:val="-10"/>
                      <w:kern w:val="2"/>
                      <w:sz w:val="21"/>
                      <w:szCs w:val="21"/>
                      <w:highlight w:val="none"/>
                      <w:lang w:val="en-US" w:eastAsia="zh-CN" w:bidi="ar-SA"/>
                    </w:rPr>
                  </w:pPr>
                  <w:r>
                    <w:rPr>
                      <w:rFonts w:hint="eastAsia"/>
                      <w:color w:val="000000"/>
                      <w:spacing w:val="-10"/>
                      <w:szCs w:val="21"/>
                      <w:highlight w:val="none"/>
                      <w:lang w:val="en-US" w:eastAsia="zh-CN"/>
                    </w:rPr>
                    <w:t>400</w:t>
                  </w:r>
                </w:p>
              </w:tc>
            </w:tr>
            <w:tr w14:paraId="68C9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Merge w:val="continue"/>
                  <w:tcBorders>
                    <w:left w:val="nil"/>
                  </w:tcBorders>
                  <w:noWrap w:val="0"/>
                  <w:vAlign w:val="center"/>
                </w:tcPr>
                <w:p w14:paraId="0972A3B9">
                  <w:pPr>
                    <w:spacing w:before="62" w:beforeLines="20" w:after="62" w:afterLines="20" w:line="0" w:lineRule="atLeast"/>
                    <w:jc w:val="center"/>
                    <w:rPr>
                      <w:rFonts w:hint="default" w:ascii="Times New Roman" w:hAnsi="Times New Roman" w:eastAsia="宋体" w:cs="Times New Roman"/>
                      <w:highlight w:val="none"/>
                    </w:rPr>
                  </w:pPr>
                </w:p>
              </w:tc>
              <w:tc>
                <w:tcPr>
                  <w:tcW w:w="923" w:type="dxa"/>
                  <w:vMerge w:val="continue"/>
                  <w:noWrap w:val="0"/>
                  <w:vAlign w:val="center"/>
                </w:tcPr>
                <w:p w14:paraId="6BBEC660">
                  <w:pPr>
                    <w:spacing w:before="62" w:beforeLines="20" w:after="62" w:afterLines="20" w:line="0" w:lineRule="atLeast"/>
                    <w:jc w:val="center"/>
                    <w:rPr>
                      <w:rFonts w:hint="default" w:ascii="Times New Roman" w:hAnsi="Times New Roman" w:eastAsia="宋体" w:cs="Times New Roman"/>
                      <w:highlight w:val="none"/>
                    </w:rPr>
                  </w:pPr>
                </w:p>
              </w:tc>
              <w:tc>
                <w:tcPr>
                  <w:tcW w:w="2059" w:type="dxa"/>
                  <w:noWrap w:val="0"/>
                  <w:vAlign w:val="center"/>
                </w:tcPr>
                <w:p w14:paraId="3DC59D8D">
                  <w:pPr>
                    <w:spacing w:before="62" w:beforeLines="20" w:after="62" w:afterLines="20" w:line="0" w:lineRule="atLeas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化学需氧量，mg/L</w:t>
                  </w:r>
                </w:p>
              </w:tc>
              <w:tc>
                <w:tcPr>
                  <w:tcW w:w="586" w:type="dxa"/>
                  <w:noWrap w:val="0"/>
                  <w:vAlign w:val="center"/>
                </w:tcPr>
                <w:p w14:paraId="4A77B915">
                  <w:pPr>
                    <w:widowControl/>
                    <w:jc w:val="center"/>
                    <w:textAlignment w:val="center"/>
                    <w:rPr>
                      <w:rFonts w:hint="default"/>
                      <w:szCs w:val="21"/>
                      <w:highlight w:val="none"/>
                      <w:lang w:val="en-US" w:eastAsia="zh-CN"/>
                    </w:rPr>
                  </w:pPr>
                  <w:r>
                    <w:rPr>
                      <w:rFonts w:hint="eastAsia"/>
                      <w:szCs w:val="21"/>
                      <w:highlight w:val="none"/>
                      <w:lang w:val="en-US" w:eastAsia="zh-CN"/>
                    </w:rPr>
                    <w:t>280</w:t>
                  </w:r>
                </w:p>
              </w:tc>
              <w:tc>
                <w:tcPr>
                  <w:tcW w:w="603" w:type="dxa"/>
                  <w:noWrap w:val="0"/>
                  <w:vAlign w:val="center"/>
                </w:tcPr>
                <w:p w14:paraId="46EC6F2D">
                  <w:pPr>
                    <w:widowControl/>
                    <w:jc w:val="center"/>
                    <w:textAlignment w:val="center"/>
                    <w:rPr>
                      <w:rFonts w:hint="default"/>
                      <w:szCs w:val="21"/>
                      <w:highlight w:val="none"/>
                      <w:lang w:val="en-US" w:eastAsia="zh-CN"/>
                    </w:rPr>
                  </w:pPr>
                  <w:r>
                    <w:rPr>
                      <w:rFonts w:hint="eastAsia"/>
                      <w:szCs w:val="21"/>
                      <w:highlight w:val="none"/>
                      <w:lang w:val="en-US" w:eastAsia="zh-CN"/>
                    </w:rPr>
                    <w:t>265</w:t>
                  </w:r>
                </w:p>
              </w:tc>
              <w:tc>
                <w:tcPr>
                  <w:tcW w:w="595" w:type="dxa"/>
                  <w:noWrap w:val="0"/>
                  <w:vAlign w:val="center"/>
                </w:tcPr>
                <w:p w14:paraId="68A79574">
                  <w:pPr>
                    <w:widowControl/>
                    <w:jc w:val="center"/>
                    <w:textAlignment w:val="center"/>
                    <w:rPr>
                      <w:rFonts w:hint="default"/>
                      <w:szCs w:val="21"/>
                      <w:highlight w:val="none"/>
                      <w:lang w:val="en-US" w:eastAsia="zh-CN"/>
                    </w:rPr>
                  </w:pPr>
                  <w:r>
                    <w:rPr>
                      <w:rFonts w:hint="eastAsia"/>
                      <w:szCs w:val="21"/>
                      <w:highlight w:val="none"/>
                      <w:lang w:val="en-US" w:eastAsia="zh-CN"/>
                    </w:rPr>
                    <w:t>274</w:t>
                  </w:r>
                </w:p>
              </w:tc>
              <w:tc>
                <w:tcPr>
                  <w:tcW w:w="595" w:type="dxa"/>
                  <w:noWrap w:val="0"/>
                  <w:vAlign w:val="center"/>
                </w:tcPr>
                <w:p w14:paraId="24B889E3">
                  <w:pPr>
                    <w:widowControl/>
                    <w:jc w:val="center"/>
                    <w:textAlignment w:val="center"/>
                    <w:rPr>
                      <w:rFonts w:hint="default"/>
                      <w:szCs w:val="21"/>
                      <w:highlight w:val="none"/>
                      <w:lang w:val="en-US" w:eastAsia="zh-CN"/>
                    </w:rPr>
                  </w:pPr>
                  <w:r>
                    <w:rPr>
                      <w:rFonts w:hint="eastAsia"/>
                      <w:szCs w:val="21"/>
                      <w:highlight w:val="none"/>
                      <w:lang w:val="en-US" w:eastAsia="zh-CN"/>
                    </w:rPr>
                    <w:t>285</w:t>
                  </w:r>
                </w:p>
              </w:tc>
              <w:tc>
                <w:tcPr>
                  <w:tcW w:w="1085" w:type="dxa"/>
                  <w:noWrap w:val="0"/>
                  <w:vAlign w:val="center"/>
                </w:tcPr>
                <w:p w14:paraId="19D36B86">
                  <w:pPr>
                    <w:widowControl/>
                    <w:jc w:val="center"/>
                    <w:textAlignment w:val="center"/>
                    <w:rPr>
                      <w:rFonts w:hint="default" w:eastAsia="宋体"/>
                      <w:kern w:val="2"/>
                      <w:sz w:val="21"/>
                      <w:szCs w:val="21"/>
                      <w:highlight w:val="none"/>
                      <w:lang w:val="en-US" w:eastAsia="zh-CN" w:bidi="ar-SA"/>
                    </w:rPr>
                  </w:pPr>
                  <w:r>
                    <w:rPr>
                      <w:rFonts w:hint="eastAsia" w:eastAsia="宋体"/>
                      <w:kern w:val="2"/>
                      <w:sz w:val="21"/>
                      <w:szCs w:val="21"/>
                      <w:highlight w:val="none"/>
                      <w:lang w:val="en-US" w:eastAsia="zh-CN" w:bidi="ar-SA"/>
                    </w:rPr>
                    <w:t>276</w:t>
                  </w:r>
                </w:p>
              </w:tc>
              <w:tc>
                <w:tcPr>
                  <w:tcW w:w="711" w:type="dxa"/>
                  <w:tcBorders>
                    <w:right w:val="nil"/>
                  </w:tcBorders>
                  <w:noWrap w:val="0"/>
                  <w:vAlign w:val="center"/>
                </w:tcPr>
                <w:p w14:paraId="1FC15ECD">
                  <w:pPr>
                    <w:spacing w:line="0" w:lineRule="atLeast"/>
                    <w:jc w:val="center"/>
                    <w:rPr>
                      <w:rFonts w:hint="eastAsia"/>
                      <w:color w:val="000000"/>
                      <w:spacing w:val="-10"/>
                      <w:kern w:val="2"/>
                      <w:sz w:val="21"/>
                      <w:szCs w:val="21"/>
                      <w:highlight w:val="none"/>
                      <w:lang w:val="en-US" w:eastAsia="zh-CN" w:bidi="ar-SA"/>
                    </w:rPr>
                  </w:pPr>
                  <w:r>
                    <w:rPr>
                      <w:rFonts w:hint="eastAsia"/>
                      <w:color w:val="000000"/>
                      <w:spacing w:val="-10"/>
                      <w:szCs w:val="21"/>
                      <w:highlight w:val="none"/>
                      <w:lang w:val="en-US" w:eastAsia="zh-CN"/>
                    </w:rPr>
                    <w:t>500</w:t>
                  </w:r>
                </w:p>
              </w:tc>
            </w:tr>
            <w:tr w14:paraId="00C7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tcBorders>
                    <w:left w:val="nil"/>
                    <w:bottom w:val="single" w:color="auto" w:sz="12" w:space="0"/>
                  </w:tcBorders>
                  <w:noWrap w:val="0"/>
                  <w:vAlign w:val="center"/>
                </w:tcPr>
                <w:p w14:paraId="1BC25F04">
                  <w:pPr>
                    <w:spacing w:before="62" w:beforeLines="20" w:after="62" w:afterLines="20" w:line="0" w:lineRule="atLeast"/>
                    <w:jc w:val="center"/>
                    <w:rPr>
                      <w:rFonts w:hint="default" w:ascii="Times New Roman" w:hAnsi="Times New Roman" w:eastAsia="宋体" w:cs="Times New Roman"/>
                      <w:b/>
                      <w:highlight w:val="none"/>
                    </w:rPr>
                  </w:pPr>
                  <w:r>
                    <w:rPr>
                      <w:rFonts w:hint="default" w:ascii="Times New Roman" w:hAnsi="Times New Roman" w:eastAsia="宋体" w:cs="Times New Roman"/>
                      <w:b/>
                      <w:bCs/>
                      <w:szCs w:val="21"/>
                      <w:highlight w:val="none"/>
                    </w:rPr>
                    <w:t>备注</w:t>
                  </w:r>
                </w:p>
              </w:tc>
              <w:tc>
                <w:tcPr>
                  <w:tcW w:w="7157" w:type="dxa"/>
                  <w:gridSpan w:val="8"/>
                  <w:tcBorders>
                    <w:bottom w:val="single" w:color="auto" w:sz="12" w:space="0"/>
                    <w:right w:val="nil"/>
                  </w:tcBorders>
                  <w:noWrap w:val="0"/>
                  <w:vAlign w:val="center"/>
                </w:tcPr>
                <w:p w14:paraId="65772D99">
                  <w:pPr>
                    <w:spacing w:line="320" w:lineRule="exact"/>
                    <w:rPr>
                      <w:rFonts w:hint="eastAsia" w:ascii="Times New Roman" w:hAnsi="Times New Roman" w:eastAsia="宋体" w:cs="Times New Roman"/>
                      <w:bCs/>
                      <w:color w:val="000000"/>
                      <w:szCs w:val="21"/>
                      <w:highlight w:val="none"/>
                      <w:lang w:val="en-US" w:eastAsia="zh-CN"/>
                    </w:rPr>
                  </w:pPr>
                  <w:r>
                    <w:rPr>
                      <w:rFonts w:hint="eastAsia" w:ascii="Times New Roman" w:hAnsi="Times New Roman" w:eastAsia="宋体" w:cs="Times New Roman"/>
                      <w:bCs/>
                      <w:color w:val="000000"/>
                      <w:szCs w:val="21"/>
                      <w:highlight w:val="none"/>
                      <w:lang w:val="en-US" w:eastAsia="zh-CN"/>
                    </w:rPr>
                    <w:t>1.根据该公司提供的用水说明，该公司生产用水主要为清洗用水，调浆用水混合在原料中，自然蒸发不外排；清洗用水每日用量为3吨</w:t>
                  </w:r>
                  <w:r>
                    <w:rPr>
                      <w:rFonts w:hint="eastAsia" w:cs="Times New Roman"/>
                      <w:bCs/>
                      <w:color w:val="000000"/>
                      <w:szCs w:val="21"/>
                      <w:highlight w:val="none"/>
                      <w:lang w:val="en-US" w:eastAsia="zh-CN"/>
                    </w:rPr>
                    <w:t>（</w:t>
                  </w:r>
                  <w:r>
                    <w:rPr>
                      <w:rFonts w:hint="eastAsia" w:ascii="Times New Roman" w:hAnsi="Times New Roman" w:eastAsia="宋体" w:cs="Times New Roman"/>
                      <w:bCs/>
                      <w:color w:val="000000"/>
                      <w:szCs w:val="21"/>
                      <w:highlight w:val="none"/>
                      <w:lang w:val="en-US" w:eastAsia="zh-CN"/>
                    </w:rPr>
                    <w:t>年用水量为900吨</w:t>
                  </w:r>
                  <w:r>
                    <w:rPr>
                      <w:rFonts w:hint="eastAsia" w:cs="Times New Roman"/>
                      <w:bCs/>
                      <w:color w:val="000000"/>
                      <w:szCs w:val="21"/>
                      <w:highlight w:val="none"/>
                      <w:lang w:val="en-US" w:eastAsia="zh-CN"/>
                    </w:rPr>
                    <w:t>）</w:t>
                  </w:r>
                  <w:r>
                    <w:rPr>
                      <w:rFonts w:hint="eastAsia" w:ascii="Times New Roman" w:hAnsi="Times New Roman" w:eastAsia="宋体" w:cs="Times New Roman"/>
                      <w:bCs/>
                      <w:color w:val="000000"/>
                      <w:szCs w:val="21"/>
                      <w:highlight w:val="none"/>
                      <w:lang w:val="en-US" w:eastAsia="zh-CN"/>
                    </w:rPr>
                    <w:t>，按90%的排污率计算，生产年废水排放量为810吨。生活用水每日约9吨，年用水量为2700吨，按80%的排污率计算，生活废水年排放量约为2160吨。该公司年污水排放总量为2970吨。</w:t>
                  </w:r>
                </w:p>
                <w:p w14:paraId="3D830F39">
                  <w:pPr>
                    <w:spacing w:line="320" w:lineRule="exact"/>
                    <w:rPr>
                      <w:rFonts w:hint="default" w:ascii="Times New Roman" w:hAnsi="Times New Roman" w:eastAsia="宋体" w:cs="Times New Roman"/>
                      <w:highlight w:val="none"/>
                    </w:rPr>
                  </w:pPr>
                  <w:r>
                    <w:rPr>
                      <w:rFonts w:hint="eastAsia" w:ascii="Times New Roman" w:hAnsi="Times New Roman" w:eastAsia="宋体" w:cs="Times New Roman"/>
                      <w:bCs/>
                      <w:color w:val="000000"/>
                      <w:szCs w:val="21"/>
                      <w:highlight w:val="none"/>
                      <w:lang w:val="en-US" w:eastAsia="zh-CN"/>
                    </w:rPr>
                    <w:t>2.该公司外排污水经现场采样监测其主要污染物日平均浓度能达到GB8978-1996《污水综合排放标准》表4三级标准。</w:t>
                  </w:r>
                </w:p>
              </w:tc>
            </w:tr>
          </w:tbl>
          <w:p w14:paraId="73CE12EA">
            <w:pPr>
              <w:pStyle w:val="2"/>
              <w:keepNext w:val="0"/>
              <w:keepLines w:val="0"/>
              <w:pageBreakBefore w:val="0"/>
              <w:widowControl w:val="0"/>
              <w:kinsoku/>
              <w:wordWrap/>
              <w:overflowPunct/>
              <w:topLinePunct w:val="0"/>
              <w:autoSpaceDE/>
              <w:autoSpaceDN/>
              <w:bidi w:val="0"/>
              <w:adjustRightInd/>
              <w:snapToGrid/>
              <w:spacing w:before="157" w:beforeLines="50" w:after="0"/>
              <w:ind w:left="0" w:leftChars="0" w:firstLine="480"/>
              <w:textAlignment w:val="auto"/>
              <w:rPr>
                <w:rFonts w:hint="eastAsia" w:cs="Times New Roman"/>
                <w:bCs/>
                <w:sz w:val="24"/>
                <w:szCs w:val="24"/>
                <w:highlight w:val="none"/>
                <w:lang w:eastAsia="zh-CN"/>
              </w:rPr>
            </w:pPr>
            <w:r>
              <w:rPr>
                <w:rFonts w:hint="eastAsia" w:cs="Times New Roman"/>
                <w:bCs/>
                <w:sz w:val="24"/>
                <w:szCs w:val="24"/>
                <w:highlight w:val="none"/>
                <w:lang w:eastAsia="zh-CN"/>
              </w:rPr>
              <w:t>②废气</w:t>
            </w:r>
          </w:p>
          <w:p w14:paraId="58566DAA">
            <w:pPr>
              <w:pStyle w:val="2"/>
              <w:keepNext w:val="0"/>
              <w:keepLines w:val="0"/>
              <w:pageBreakBefore w:val="0"/>
              <w:widowControl w:val="0"/>
              <w:kinsoku/>
              <w:wordWrap/>
              <w:overflowPunct/>
              <w:topLinePunct w:val="0"/>
              <w:autoSpaceDE/>
              <w:autoSpaceDN/>
              <w:bidi w:val="0"/>
              <w:adjustRightInd/>
              <w:snapToGrid/>
              <w:spacing w:after="0"/>
              <w:ind w:left="0" w:leftChars="0" w:firstLine="480"/>
              <w:textAlignment w:val="auto"/>
              <w:rPr>
                <w:rFonts w:hint="eastAsia" w:cs="Times New Roman"/>
                <w:bCs/>
                <w:sz w:val="24"/>
                <w:szCs w:val="24"/>
                <w:highlight w:val="none"/>
                <w:lang w:eastAsia="zh-CN"/>
              </w:rPr>
            </w:pPr>
            <w:r>
              <w:rPr>
                <w:rFonts w:hint="eastAsia" w:cs="Times New Roman"/>
                <w:bCs/>
                <w:sz w:val="24"/>
                <w:szCs w:val="24"/>
                <w:highlight w:val="none"/>
                <w:lang w:eastAsia="zh-CN"/>
              </w:rPr>
              <w:t>现有项目生产过程中产生的废气为无组织排放，现有项目</w:t>
            </w:r>
            <w:r>
              <w:rPr>
                <w:rFonts w:hint="eastAsia" w:ascii="Times New Roman" w:hAnsi="Times New Roman" w:eastAsia="宋体" w:cs="Times New Roman"/>
                <w:color w:val="auto"/>
                <w:sz w:val="24"/>
                <w:szCs w:val="24"/>
                <w:highlight w:val="none"/>
                <w:lang w:eastAsia="zh-CN"/>
              </w:rPr>
              <w:t>竣工环保验收报告</w:t>
            </w:r>
            <w:r>
              <w:rPr>
                <w:rFonts w:hint="eastAsia" w:cs="Times New Roman"/>
                <w:color w:val="auto"/>
                <w:sz w:val="24"/>
                <w:szCs w:val="24"/>
                <w:highlight w:val="none"/>
                <w:lang w:eastAsia="zh-CN"/>
              </w:rPr>
              <w:t>中未进行监测。</w:t>
            </w:r>
          </w:p>
          <w:p w14:paraId="2F570C02">
            <w:pPr>
              <w:pStyle w:val="2"/>
              <w:keepNext w:val="0"/>
              <w:keepLines w:val="0"/>
              <w:pageBreakBefore w:val="0"/>
              <w:widowControl w:val="0"/>
              <w:kinsoku/>
              <w:wordWrap/>
              <w:overflowPunct/>
              <w:topLinePunct w:val="0"/>
              <w:autoSpaceDE/>
              <w:autoSpaceDN/>
              <w:bidi w:val="0"/>
              <w:adjustRightInd/>
              <w:snapToGrid/>
              <w:spacing w:after="0"/>
              <w:ind w:left="0" w:leftChars="0" w:firstLine="480"/>
              <w:textAlignment w:val="auto"/>
              <w:rPr>
                <w:rFonts w:hint="default" w:ascii="Times New Roman" w:hAnsi="Times New Roman" w:eastAsia="宋体" w:cs="Times New Roman"/>
                <w:bCs/>
                <w:sz w:val="24"/>
                <w:szCs w:val="24"/>
                <w:highlight w:val="none"/>
                <w:lang w:eastAsia="zh-CN"/>
              </w:rPr>
            </w:pPr>
            <w:r>
              <w:rPr>
                <w:rFonts w:hint="eastAsia" w:cs="Times New Roman"/>
                <w:bCs/>
                <w:sz w:val="24"/>
                <w:szCs w:val="24"/>
                <w:highlight w:val="none"/>
                <w:lang w:eastAsia="zh-CN"/>
              </w:rPr>
              <w:t>③噪声</w:t>
            </w:r>
          </w:p>
          <w:p w14:paraId="09EE2198">
            <w:pPr>
              <w:pStyle w:val="2"/>
              <w:spacing w:before="0" w:beforeLines="0" w:after="0"/>
              <w:ind w:left="0" w:leftChars="0" w:firstLine="480" w:firstLineChars="200"/>
              <w:rPr>
                <w:rFonts w:hint="default" w:ascii="Times New Roman" w:hAnsi="Times New Roman" w:cs="Times New Roman"/>
                <w:color w:val="auto"/>
                <w:sz w:val="24"/>
                <w:highlight w:val="none"/>
              </w:rPr>
            </w:pPr>
            <w:r>
              <w:rPr>
                <w:rFonts w:hint="eastAsia" w:ascii="Times New Roman" w:hAnsi="Times New Roman" w:cs="Times New Roman"/>
                <w:highlight w:val="none"/>
                <w:lang w:eastAsia="zh-CN"/>
              </w:rPr>
              <w:t>现有</w:t>
            </w:r>
            <w:r>
              <w:rPr>
                <w:rFonts w:hint="default" w:ascii="Times New Roman" w:hAnsi="Times New Roman" w:cs="Times New Roman"/>
                <w:highlight w:val="none"/>
                <w:lang w:eastAsia="zh-CN"/>
              </w:rPr>
              <w:t>项目</w:t>
            </w:r>
            <w:r>
              <w:rPr>
                <w:rFonts w:hint="default" w:ascii="Times New Roman" w:hAnsi="Times New Roman" w:cs="Times New Roman"/>
                <w:highlight w:val="none"/>
              </w:rPr>
              <w:t>生产过程中产生的噪声源主要为</w:t>
            </w:r>
            <w:r>
              <w:rPr>
                <w:rFonts w:hint="default" w:ascii="Times New Roman" w:hAnsi="Times New Roman" w:eastAsia="宋体" w:cs="Times New Roman"/>
                <w:color w:val="000000"/>
                <w:spacing w:val="0"/>
                <w:kern w:val="1"/>
                <w:sz w:val="24"/>
                <w:szCs w:val="22"/>
                <w:highlight w:val="none"/>
                <w:lang w:val="en-US" w:eastAsia="zh-CN" w:bidi="ar-SA"/>
              </w:rPr>
              <w:t>生产设备运行产生的机械噪声</w:t>
            </w:r>
            <w:r>
              <w:rPr>
                <w:rFonts w:hint="default" w:ascii="Times New Roman" w:hAnsi="Times New Roman" w:cs="Times New Roman"/>
                <w:color w:val="auto"/>
                <w:highlight w:val="none"/>
              </w:rPr>
              <w:t>。</w:t>
            </w:r>
            <w:r>
              <w:rPr>
                <w:rFonts w:hint="eastAsia" w:ascii="Times New Roman" w:hAnsi="Times New Roman" w:eastAsia="宋体" w:cs="Times New Roman"/>
                <w:color w:val="auto"/>
                <w:sz w:val="24"/>
                <w:szCs w:val="24"/>
                <w:highlight w:val="none"/>
                <w:lang w:eastAsia="zh-CN"/>
              </w:rPr>
              <w:t>根据竣工环保验收报告中的监测结果，现有</w:t>
            </w:r>
            <w:r>
              <w:rPr>
                <w:rFonts w:hint="eastAsia" w:ascii="Times New Roman" w:hAnsi="Times New Roman" w:cs="Times New Roman"/>
                <w:color w:val="auto"/>
                <w:highlight w:val="none"/>
                <w:lang w:eastAsia="zh-CN"/>
              </w:rPr>
              <w:t>项目</w:t>
            </w:r>
            <w:r>
              <w:rPr>
                <w:rFonts w:hint="default" w:ascii="Times New Roman" w:hAnsi="Times New Roman" w:cs="Times New Roman"/>
                <w:color w:val="auto"/>
                <w:sz w:val="24"/>
                <w:highlight w:val="none"/>
              </w:rPr>
              <w:t>厂界噪声排放符合GB12348-2008《工业企业厂界环境噪声排放标准》的</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类标准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具体见</w:t>
            </w:r>
            <w:r>
              <w:rPr>
                <w:rFonts w:hint="eastAsia" w:ascii="Times New Roman" w:hAnsi="Times New Roman" w:cs="Times New Roman"/>
                <w:color w:val="auto"/>
                <w:sz w:val="24"/>
                <w:highlight w:val="none"/>
                <w:lang w:val="en-US" w:eastAsia="zh-CN"/>
              </w:rPr>
              <w:t>下</w:t>
            </w:r>
            <w:r>
              <w:rPr>
                <w:rFonts w:hint="default" w:ascii="Times New Roman" w:hAnsi="Times New Roman" w:cs="Times New Roman"/>
                <w:color w:val="auto"/>
                <w:sz w:val="24"/>
                <w:highlight w:val="none"/>
                <w:lang w:val="en-US" w:eastAsia="zh-CN"/>
              </w:rPr>
              <w:t>表</w:t>
            </w:r>
            <w:r>
              <w:rPr>
                <w:rFonts w:hint="default" w:ascii="Times New Roman" w:hAnsi="Times New Roman" w:cs="Times New Roman"/>
                <w:color w:val="auto"/>
                <w:highlight w:val="none"/>
              </w:rPr>
              <w:t>。</w:t>
            </w:r>
          </w:p>
          <w:p w14:paraId="5AF5B59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000000"/>
                <w:sz w:val="24"/>
                <w:highlight w:val="none"/>
              </w:rPr>
            </w:pPr>
            <w:r>
              <w:rPr>
                <w:rFonts w:hint="default" w:ascii="Times New Roman" w:hAnsi="Times New Roman" w:eastAsia="宋体" w:cs="Times New Roman"/>
                <w:b/>
                <w:bCs w:val="0"/>
                <w:color w:val="000000"/>
                <w:sz w:val="24"/>
                <w:highlight w:val="none"/>
                <w:lang w:val="en-US" w:eastAsia="zh-CN"/>
              </w:rPr>
              <w:t>表</w:t>
            </w:r>
            <w:r>
              <w:rPr>
                <w:rFonts w:hint="eastAsia" w:ascii="Times New Roman" w:hAnsi="Times New Roman" w:eastAsia="宋体" w:cs="Times New Roman"/>
                <w:b/>
                <w:bCs w:val="0"/>
                <w:color w:val="000000"/>
                <w:sz w:val="24"/>
                <w:highlight w:val="none"/>
                <w:lang w:val="en-US" w:eastAsia="zh-CN"/>
              </w:rPr>
              <w:t>2</w:t>
            </w:r>
            <w:r>
              <w:rPr>
                <w:rFonts w:hint="default" w:ascii="Times New Roman" w:hAnsi="Times New Roman" w:eastAsia="宋体" w:cs="Times New Roman"/>
                <w:b/>
                <w:bCs w:val="0"/>
                <w:color w:val="000000"/>
                <w:sz w:val="24"/>
                <w:highlight w:val="none"/>
                <w:lang w:val="en-US" w:eastAsia="zh-CN"/>
              </w:rPr>
              <w:t>-</w:t>
            </w:r>
            <w:r>
              <w:rPr>
                <w:rFonts w:hint="eastAsia" w:cs="Times New Roman"/>
                <w:b/>
                <w:bCs w:val="0"/>
                <w:color w:val="000000"/>
                <w:sz w:val="24"/>
                <w:highlight w:val="none"/>
                <w:lang w:val="en-US" w:eastAsia="zh-CN"/>
              </w:rPr>
              <w:t>8</w:t>
            </w:r>
            <w:r>
              <w:rPr>
                <w:rFonts w:hint="default" w:ascii="Times New Roman" w:hAnsi="Times New Roman" w:eastAsia="宋体" w:cs="Times New Roman"/>
                <w:b/>
                <w:bCs w:val="0"/>
                <w:color w:val="000000"/>
                <w:sz w:val="24"/>
                <w:highlight w:val="none"/>
                <w:lang w:val="en-US" w:eastAsia="zh-CN"/>
              </w:rPr>
              <w:t>厂界</w:t>
            </w:r>
            <w:r>
              <w:rPr>
                <w:rFonts w:hint="default" w:ascii="Times New Roman" w:hAnsi="Times New Roman" w:eastAsia="宋体" w:cs="Times New Roman"/>
                <w:b/>
                <w:bCs w:val="0"/>
                <w:color w:val="000000"/>
                <w:sz w:val="24"/>
                <w:highlight w:val="none"/>
              </w:rPr>
              <w:t>噪声监测结果一览表   单位：dB(A)</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782"/>
              <w:gridCol w:w="1503"/>
              <w:gridCol w:w="1679"/>
              <w:gridCol w:w="1446"/>
              <w:gridCol w:w="791"/>
              <w:gridCol w:w="600"/>
              <w:gridCol w:w="1114"/>
              <w:gridCol w:w="25"/>
            </w:tblGrid>
            <w:tr w14:paraId="625126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492" w:type="pct"/>
                  <w:noWrap w:val="0"/>
                  <w:vAlign w:val="center"/>
                </w:tcPr>
                <w:p w14:paraId="680C5BF0">
                  <w:pPr>
                    <w:spacing w:before="93" w:beforeLines="30" w:after="93" w:afterLines="30" w:line="0" w:lineRule="atLeast"/>
                    <w:jc w:val="center"/>
                    <w:rPr>
                      <w:rFonts w:hint="eastAsia"/>
                      <w:b w:val="0"/>
                      <w:bCs/>
                      <w:color w:val="000000"/>
                      <w:highlight w:val="none"/>
                    </w:rPr>
                  </w:pPr>
                  <w:r>
                    <w:rPr>
                      <w:rFonts w:hint="eastAsia"/>
                      <w:b w:val="0"/>
                      <w:bCs/>
                      <w:color w:val="000000"/>
                      <w:highlight w:val="none"/>
                    </w:rPr>
                    <w:t>监测</w:t>
                  </w:r>
                </w:p>
                <w:p w14:paraId="1B49BDC6">
                  <w:pPr>
                    <w:spacing w:before="93" w:beforeLines="30" w:after="93" w:afterLines="30" w:line="0" w:lineRule="atLeast"/>
                    <w:jc w:val="center"/>
                    <w:rPr>
                      <w:rFonts w:hint="eastAsia" w:eastAsia="宋体"/>
                      <w:b w:val="0"/>
                      <w:bCs/>
                      <w:color w:val="000000"/>
                      <w:highlight w:val="none"/>
                      <w:lang w:eastAsia="zh-CN"/>
                    </w:rPr>
                  </w:pPr>
                  <w:r>
                    <w:rPr>
                      <w:rFonts w:hint="eastAsia"/>
                      <w:b w:val="0"/>
                      <w:bCs/>
                      <w:color w:val="000000"/>
                      <w:highlight w:val="none"/>
                      <w:lang w:eastAsia="zh-CN"/>
                    </w:rPr>
                    <w:t>编号</w:t>
                  </w:r>
                </w:p>
              </w:tc>
              <w:tc>
                <w:tcPr>
                  <w:tcW w:w="946" w:type="pct"/>
                  <w:noWrap w:val="0"/>
                  <w:vAlign w:val="center"/>
                </w:tcPr>
                <w:p w14:paraId="7F55AA3B">
                  <w:pPr>
                    <w:spacing w:before="93" w:beforeLines="30" w:after="93" w:afterLines="30" w:line="0" w:lineRule="atLeast"/>
                    <w:jc w:val="center"/>
                    <w:rPr>
                      <w:rFonts w:hint="eastAsia" w:eastAsia="宋体"/>
                      <w:b w:val="0"/>
                      <w:bCs/>
                      <w:color w:val="000000"/>
                      <w:szCs w:val="21"/>
                      <w:highlight w:val="none"/>
                      <w:lang w:eastAsia="zh-CN"/>
                    </w:rPr>
                  </w:pPr>
                  <w:r>
                    <w:rPr>
                      <w:rFonts w:hint="eastAsia" w:ascii="宋体" w:hAnsi="宋体"/>
                      <w:b w:val="0"/>
                      <w:bCs/>
                      <w:color w:val="000000"/>
                      <w:highlight w:val="none"/>
                      <w:lang w:eastAsia="zh-CN"/>
                    </w:rPr>
                    <w:t>主要声源</w:t>
                  </w:r>
                </w:p>
              </w:tc>
              <w:tc>
                <w:tcPr>
                  <w:tcW w:w="1057" w:type="pct"/>
                  <w:noWrap w:val="0"/>
                  <w:vAlign w:val="center"/>
                </w:tcPr>
                <w:p w14:paraId="022DBAE1">
                  <w:pPr>
                    <w:spacing w:before="93" w:beforeLines="30" w:after="93" w:afterLines="30" w:line="0" w:lineRule="atLeast"/>
                    <w:jc w:val="center"/>
                    <w:rPr>
                      <w:rFonts w:hint="eastAsia" w:eastAsia="宋体"/>
                      <w:b w:val="0"/>
                      <w:bCs/>
                      <w:color w:val="000000"/>
                      <w:szCs w:val="21"/>
                      <w:highlight w:val="none"/>
                      <w:lang w:eastAsia="zh-CN"/>
                    </w:rPr>
                  </w:pPr>
                  <w:r>
                    <w:rPr>
                      <w:rFonts w:hint="eastAsia"/>
                      <w:b w:val="0"/>
                      <w:bCs/>
                      <w:color w:val="000000"/>
                      <w:szCs w:val="21"/>
                      <w:highlight w:val="none"/>
                      <w:lang w:eastAsia="zh-CN"/>
                    </w:rPr>
                    <w:t>实际值</w:t>
                  </w:r>
                  <w:r>
                    <w:rPr>
                      <w:rFonts w:hint="eastAsia"/>
                      <w:b w:val="0"/>
                      <w:bCs/>
                      <w:color w:val="000000"/>
                      <w:highlight w:val="none"/>
                    </w:rPr>
                    <w:t>L</w:t>
                  </w:r>
                  <w:r>
                    <w:rPr>
                      <w:rFonts w:hint="eastAsia" w:ascii="宋体" w:hAnsi="宋体"/>
                      <w:b w:val="0"/>
                      <w:bCs/>
                      <w:color w:val="000000"/>
                      <w:highlight w:val="none"/>
                      <w:vertAlign w:val="subscript"/>
                    </w:rPr>
                    <w:t>eq</w:t>
                  </w:r>
                </w:p>
              </w:tc>
              <w:tc>
                <w:tcPr>
                  <w:tcW w:w="910" w:type="pct"/>
                  <w:noWrap w:val="0"/>
                  <w:vAlign w:val="center"/>
                </w:tcPr>
                <w:p w14:paraId="5AAD3852">
                  <w:pPr>
                    <w:spacing w:before="93" w:beforeLines="30" w:after="93" w:afterLines="30" w:line="0" w:lineRule="atLeast"/>
                    <w:jc w:val="center"/>
                    <w:rPr>
                      <w:rFonts w:hint="eastAsia" w:ascii="宋体" w:hAnsi="宋体" w:eastAsia="宋体"/>
                      <w:b w:val="0"/>
                      <w:bCs/>
                      <w:color w:val="000000"/>
                      <w:highlight w:val="none"/>
                      <w:lang w:eastAsia="zh-CN"/>
                    </w:rPr>
                  </w:pPr>
                  <w:r>
                    <w:rPr>
                      <w:rFonts w:hint="eastAsia" w:ascii="宋体" w:hAnsi="宋体"/>
                      <w:b w:val="0"/>
                      <w:bCs/>
                      <w:color w:val="000000"/>
                      <w:highlight w:val="none"/>
                      <w:lang w:eastAsia="zh-CN"/>
                    </w:rPr>
                    <w:t>评价标准</w:t>
                  </w:r>
                </w:p>
              </w:tc>
              <w:tc>
                <w:tcPr>
                  <w:tcW w:w="498" w:type="pct"/>
                  <w:noWrap w:val="0"/>
                  <w:vAlign w:val="center"/>
                </w:tcPr>
                <w:p w14:paraId="0BE39A65">
                  <w:pPr>
                    <w:spacing w:before="93" w:beforeLines="30" w:after="93" w:afterLines="30" w:line="0" w:lineRule="atLeast"/>
                    <w:jc w:val="center"/>
                    <w:rPr>
                      <w:rFonts w:hint="eastAsia" w:ascii="宋体" w:hAnsi="宋体" w:eastAsia="宋体"/>
                      <w:b w:val="0"/>
                      <w:bCs/>
                      <w:color w:val="000000"/>
                      <w:highlight w:val="none"/>
                      <w:lang w:eastAsia="zh-CN"/>
                    </w:rPr>
                  </w:pPr>
                  <w:r>
                    <w:rPr>
                      <w:rFonts w:hint="eastAsia" w:ascii="宋体" w:hAnsi="宋体"/>
                      <w:b w:val="0"/>
                      <w:bCs/>
                      <w:color w:val="000000"/>
                      <w:highlight w:val="none"/>
                      <w:lang w:eastAsia="zh-CN"/>
                    </w:rPr>
                    <w:t>超标值</w:t>
                  </w:r>
                </w:p>
              </w:tc>
              <w:tc>
                <w:tcPr>
                  <w:tcW w:w="377" w:type="pct"/>
                  <w:noWrap w:val="0"/>
                  <w:vAlign w:val="center"/>
                </w:tcPr>
                <w:p w14:paraId="2AB7E36F">
                  <w:pPr>
                    <w:spacing w:before="93" w:beforeLines="30" w:after="93" w:afterLines="30" w:line="0" w:lineRule="atLeast"/>
                    <w:jc w:val="center"/>
                    <w:rPr>
                      <w:rFonts w:hint="eastAsia" w:ascii="宋体" w:hAnsi="宋体" w:eastAsia="宋体"/>
                      <w:b w:val="0"/>
                      <w:bCs/>
                      <w:color w:val="000000"/>
                      <w:szCs w:val="21"/>
                      <w:highlight w:val="none"/>
                      <w:lang w:eastAsia="zh-CN"/>
                    </w:rPr>
                  </w:pPr>
                  <w:r>
                    <w:rPr>
                      <w:rFonts w:hint="eastAsia" w:ascii="宋体" w:hAnsi="宋体"/>
                      <w:b w:val="0"/>
                      <w:bCs/>
                      <w:color w:val="000000"/>
                      <w:highlight w:val="none"/>
                      <w:lang w:eastAsia="zh-CN"/>
                    </w:rPr>
                    <w:t>结论</w:t>
                  </w:r>
                </w:p>
              </w:tc>
              <w:tc>
                <w:tcPr>
                  <w:tcW w:w="717" w:type="pct"/>
                  <w:gridSpan w:val="2"/>
                  <w:noWrap w:val="0"/>
                  <w:vAlign w:val="center"/>
                </w:tcPr>
                <w:p w14:paraId="0463F25A">
                  <w:pPr>
                    <w:spacing w:before="93" w:beforeLines="30" w:after="93" w:afterLines="30" w:line="0" w:lineRule="atLeast"/>
                    <w:jc w:val="center"/>
                    <w:rPr>
                      <w:rFonts w:hint="eastAsia" w:ascii="宋体" w:hAnsi="宋体" w:eastAsia="宋体"/>
                      <w:b w:val="0"/>
                      <w:bCs/>
                      <w:color w:val="000000"/>
                      <w:highlight w:val="none"/>
                      <w:lang w:eastAsia="zh-CN"/>
                    </w:rPr>
                  </w:pPr>
                  <w:r>
                    <w:rPr>
                      <w:rFonts w:hint="eastAsia" w:ascii="宋体" w:hAnsi="宋体"/>
                      <w:b w:val="0"/>
                      <w:bCs/>
                      <w:color w:val="000000"/>
                      <w:highlight w:val="none"/>
                      <w:lang w:eastAsia="zh-CN"/>
                    </w:rPr>
                    <w:t>测量时间</w:t>
                  </w:r>
                </w:p>
              </w:tc>
            </w:tr>
            <w:tr w14:paraId="73C07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5" w:type="pct"/>
                <w:trHeight w:val="454" w:hRule="atLeast"/>
                <w:jc w:val="center"/>
              </w:trPr>
              <w:tc>
                <w:tcPr>
                  <w:tcW w:w="492" w:type="pct"/>
                  <w:noWrap w:val="0"/>
                  <w:vAlign w:val="center"/>
                </w:tcPr>
                <w:p w14:paraId="01E506AB">
                  <w:pPr>
                    <w:spacing w:before="93" w:beforeLines="30" w:after="93" w:afterLines="30" w:line="0" w:lineRule="atLeast"/>
                    <w:jc w:val="center"/>
                    <w:rPr>
                      <w:rFonts w:hint="default" w:hAnsi="宋体"/>
                      <w:color w:val="000000"/>
                      <w:szCs w:val="21"/>
                      <w:highlight w:val="none"/>
                      <w:lang w:val="en-US" w:eastAsia="zh-CN"/>
                    </w:rPr>
                  </w:pPr>
                  <w:r>
                    <w:rPr>
                      <w:rFonts w:hint="eastAsia"/>
                      <w:color w:val="000000"/>
                      <w:highlight w:val="none"/>
                      <w:lang w:val="en-US" w:eastAsia="zh-CN"/>
                    </w:rPr>
                    <w:t>1</w:t>
                  </w:r>
                </w:p>
              </w:tc>
              <w:tc>
                <w:tcPr>
                  <w:tcW w:w="946" w:type="pct"/>
                  <w:noWrap w:val="0"/>
                  <w:vAlign w:val="center"/>
                </w:tcPr>
                <w:p w14:paraId="75D81463">
                  <w:pPr>
                    <w:jc w:val="center"/>
                    <w:rPr>
                      <w:rFonts w:hint="eastAsia" w:eastAsia="宋体"/>
                      <w:color w:val="000000"/>
                      <w:szCs w:val="21"/>
                      <w:highlight w:val="none"/>
                      <w:lang w:eastAsia="zh-CN"/>
                    </w:rPr>
                  </w:pPr>
                  <w:r>
                    <w:rPr>
                      <w:rFonts w:hint="eastAsia"/>
                      <w:color w:val="000000"/>
                      <w:szCs w:val="21"/>
                      <w:highlight w:val="none"/>
                      <w:lang w:eastAsia="zh-CN"/>
                    </w:rPr>
                    <w:t>生活</w:t>
                  </w:r>
                </w:p>
              </w:tc>
              <w:tc>
                <w:tcPr>
                  <w:tcW w:w="1057" w:type="pct"/>
                  <w:noWrap w:val="0"/>
                  <w:vAlign w:val="center"/>
                </w:tcPr>
                <w:p w14:paraId="004CBDA2">
                  <w:pPr>
                    <w:jc w:val="center"/>
                    <w:rPr>
                      <w:rFonts w:hint="default" w:eastAsia="宋体"/>
                      <w:color w:val="000000"/>
                      <w:szCs w:val="21"/>
                      <w:highlight w:val="none"/>
                      <w:lang w:val="en-US" w:eastAsia="zh-CN"/>
                    </w:rPr>
                  </w:pPr>
                  <w:r>
                    <w:rPr>
                      <w:rFonts w:hint="eastAsia"/>
                      <w:color w:val="000000"/>
                      <w:szCs w:val="21"/>
                      <w:highlight w:val="none"/>
                      <w:lang w:eastAsia="zh-CN"/>
                    </w:rPr>
                    <w:t>＜</w:t>
                  </w:r>
                  <w:r>
                    <w:rPr>
                      <w:rFonts w:hint="eastAsia"/>
                      <w:color w:val="000000"/>
                      <w:szCs w:val="21"/>
                      <w:highlight w:val="none"/>
                      <w:lang w:val="en-US" w:eastAsia="zh-CN"/>
                    </w:rPr>
                    <w:t>55.8</w:t>
                  </w:r>
                </w:p>
              </w:tc>
              <w:tc>
                <w:tcPr>
                  <w:tcW w:w="910" w:type="pct"/>
                  <w:noWrap w:val="0"/>
                  <w:vAlign w:val="center"/>
                </w:tcPr>
                <w:p w14:paraId="6D719DBA">
                  <w:pPr>
                    <w:jc w:val="center"/>
                    <w:rPr>
                      <w:rFonts w:hint="default"/>
                      <w:color w:val="000000"/>
                      <w:szCs w:val="21"/>
                      <w:highlight w:val="none"/>
                      <w:lang w:val="en-US"/>
                    </w:rPr>
                  </w:pPr>
                  <w:r>
                    <w:rPr>
                      <w:rFonts w:hint="eastAsia"/>
                      <w:color w:val="000000"/>
                      <w:szCs w:val="21"/>
                      <w:highlight w:val="none"/>
                      <w:lang w:eastAsia="zh-CN"/>
                    </w:rPr>
                    <w:t>≤</w:t>
                  </w:r>
                  <w:r>
                    <w:rPr>
                      <w:rFonts w:hint="eastAsia"/>
                      <w:color w:val="000000"/>
                      <w:szCs w:val="21"/>
                      <w:highlight w:val="none"/>
                      <w:lang w:val="en-US" w:eastAsia="zh-CN"/>
                    </w:rPr>
                    <w:t>60</w:t>
                  </w:r>
                </w:p>
              </w:tc>
              <w:tc>
                <w:tcPr>
                  <w:tcW w:w="498" w:type="pct"/>
                  <w:noWrap w:val="0"/>
                  <w:vAlign w:val="center"/>
                </w:tcPr>
                <w:p w14:paraId="3F635891">
                  <w:pPr>
                    <w:jc w:val="center"/>
                    <w:rPr>
                      <w:rFonts w:hint="default" w:eastAsia="宋体"/>
                      <w:color w:val="000000"/>
                      <w:szCs w:val="21"/>
                      <w:highlight w:val="none"/>
                      <w:lang w:val="en-US" w:eastAsia="zh-CN"/>
                    </w:rPr>
                  </w:pPr>
                  <w:r>
                    <w:rPr>
                      <w:rFonts w:hint="eastAsia"/>
                      <w:color w:val="000000"/>
                      <w:szCs w:val="21"/>
                      <w:highlight w:val="none"/>
                      <w:lang w:val="en-US" w:eastAsia="zh-CN"/>
                    </w:rPr>
                    <w:t>/</w:t>
                  </w:r>
                </w:p>
              </w:tc>
              <w:tc>
                <w:tcPr>
                  <w:tcW w:w="377" w:type="pct"/>
                  <w:noWrap w:val="0"/>
                  <w:vAlign w:val="center"/>
                </w:tcPr>
                <w:p w14:paraId="1445CB49">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合格</w:t>
                  </w:r>
                </w:p>
              </w:tc>
              <w:tc>
                <w:tcPr>
                  <w:tcW w:w="701" w:type="pct"/>
                  <w:vMerge w:val="restart"/>
                  <w:noWrap w:val="0"/>
                  <w:vAlign w:val="center"/>
                </w:tcPr>
                <w:p w14:paraId="35A99C6B">
                  <w:pPr>
                    <w:jc w:val="center"/>
                    <w:rPr>
                      <w:rFonts w:hint="default" w:eastAsia="宋体"/>
                      <w:color w:val="000000"/>
                      <w:szCs w:val="21"/>
                      <w:highlight w:val="none"/>
                      <w:lang w:val="en-US" w:eastAsia="zh-CN"/>
                    </w:rPr>
                  </w:pPr>
                  <w:r>
                    <w:rPr>
                      <w:rFonts w:hint="eastAsia"/>
                      <w:color w:val="000000"/>
                      <w:szCs w:val="21"/>
                      <w:highlight w:val="none"/>
                      <w:lang w:val="en-US" w:eastAsia="zh-CN"/>
                    </w:rPr>
                    <w:t>2011年3月22日9:16~9:38</w:t>
                  </w:r>
                </w:p>
              </w:tc>
            </w:tr>
            <w:tr w14:paraId="5DD41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5" w:type="pct"/>
                <w:trHeight w:val="454" w:hRule="atLeast"/>
                <w:jc w:val="center"/>
              </w:trPr>
              <w:tc>
                <w:tcPr>
                  <w:tcW w:w="492" w:type="pct"/>
                  <w:noWrap w:val="0"/>
                  <w:vAlign w:val="center"/>
                </w:tcPr>
                <w:p w14:paraId="466FEB2F">
                  <w:pPr>
                    <w:jc w:val="center"/>
                    <w:rPr>
                      <w:rFonts w:hint="eastAsia" w:eastAsia="宋体"/>
                      <w:color w:val="000000"/>
                      <w:szCs w:val="21"/>
                      <w:highlight w:val="none"/>
                      <w:lang w:val="en-US" w:eastAsia="zh-CN"/>
                    </w:rPr>
                  </w:pPr>
                  <w:r>
                    <w:rPr>
                      <w:rFonts w:hint="eastAsia"/>
                      <w:color w:val="000000"/>
                      <w:szCs w:val="21"/>
                      <w:highlight w:val="none"/>
                      <w:lang w:val="en-US" w:eastAsia="zh-CN"/>
                    </w:rPr>
                    <w:t>2</w:t>
                  </w:r>
                </w:p>
              </w:tc>
              <w:tc>
                <w:tcPr>
                  <w:tcW w:w="946" w:type="pct"/>
                  <w:noWrap w:val="0"/>
                  <w:vAlign w:val="center"/>
                </w:tcPr>
                <w:p w14:paraId="23139F9B">
                  <w:pPr>
                    <w:jc w:val="center"/>
                    <w:rPr>
                      <w:rFonts w:hint="eastAsia" w:eastAsia="宋体"/>
                      <w:color w:val="000000"/>
                      <w:szCs w:val="21"/>
                      <w:highlight w:val="none"/>
                      <w:lang w:eastAsia="zh-CN"/>
                    </w:rPr>
                  </w:pPr>
                  <w:r>
                    <w:rPr>
                      <w:rFonts w:hint="eastAsia"/>
                      <w:color w:val="000000"/>
                      <w:szCs w:val="21"/>
                      <w:highlight w:val="none"/>
                      <w:lang w:eastAsia="zh-CN"/>
                    </w:rPr>
                    <w:t>生活</w:t>
                  </w:r>
                </w:p>
              </w:tc>
              <w:tc>
                <w:tcPr>
                  <w:tcW w:w="1057" w:type="pct"/>
                  <w:noWrap w:val="0"/>
                  <w:vAlign w:val="center"/>
                </w:tcPr>
                <w:p w14:paraId="55C467A1">
                  <w:pPr>
                    <w:jc w:val="center"/>
                    <w:rPr>
                      <w:rFonts w:hint="default"/>
                      <w:color w:val="000000"/>
                      <w:szCs w:val="21"/>
                      <w:highlight w:val="none"/>
                      <w:lang w:val="en-US"/>
                    </w:rPr>
                  </w:pPr>
                  <w:r>
                    <w:rPr>
                      <w:rFonts w:hint="eastAsia"/>
                      <w:color w:val="000000"/>
                      <w:szCs w:val="21"/>
                      <w:highlight w:val="none"/>
                      <w:lang w:eastAsia="zh-CN"/>
                    </w:rPr>
                    <w:t>＜</w:t>
                  </w:r>
                  <w:r>
                    <w:rPr>
                      <w:rFonts w:hint="eastAsia"/>
                      <w:color w:val="000000"/>
                      <w:szCs w:val="21"/>
                      <w:highlight w:val="none"/>
                      <w:lang w:val="en-US" w:eastAsia="zh-CN"/>
                    </w:rPr>
                    <w:t>55.3</w:t>
                  </w:r>
                </w:p>
              </w:tc>
              <w:tc>
                <w:tcPr>
                  <w:tcW w:w="910" w:type="pct"/>
                  <w:noWrap w:val="0"/>
                  <w:vAlign w:val="center"/>
                </w:tcPr>
                <w:p w14:paraId="4BA3DCA6">
                  <w:pPr>
                    <w:jc w:val="center"/>
                    <w:rPr>
                      <w:color w:val="000000"/>
                      <w:highlight w:val="none"/>
                    </w:rPr>
                  </w:pPr>
                  <w:r>
                    <w:rPr>
                      <w:rFonts w:hint="eastAsia"/>
                      <w:color w:val="000000"/>
                      <w:szCs w:val="21"/>
                      <w:highlight w:val="none"/>
                      <w:lang w:eastAsia="zh-CN"/>
                    </w:rPr>
                    <w:t>≤</w:t>
                  </w:r>
                  <w:r>
                    <w:rPr>
                      <w:rFonts w:hint="eastAsia"/>
                      <w:color w:val="000000"/>
                      <w:szCs w:val="21"/>
                      <w:highlight w:val="none"/>
                      <w:lang w:val="en-US" w:eastAsia="zh-CN"/>
                    </w:rPr>
                    <w:t>60</w:t>
                  </w:r>
                </w:p>
              </w:tc>
              <w:tc>
                <w:tcPr>
                  <w:tcW w:w="498" w:type="pct"/>
                  <w:noWrap w:val="0"/>
                  <w:vAlign w:val="center"/>
                </w:tcPr>
                <w:p w14:paraId="3853EFBC">
                  <w:pPr>
                    <w:jc w:val="center"/>
                    <w:rPr>
                      <w:rFonts w:hint="eastAsia" w:eastAsia="宋体"/>
                      <w:color w:val="000000"/>
                      <w:szCs w:val="21"/>
                      <w:highlight w:val="none"/>
                      <w:lang w:val="en-US" w:eastAsia="zh-CN"/>
                    </w:rPr>
                  </w:pPr>
                  <w:r>
                    <w:rPr>
                      <w:rFonts w:hint="eastAsia"/>
                      <w:color w:val="000000"/>
                      <w:szCs w:val="21"/>
                      <w:highlight w:val="none"/>
                      <w:lang w:val="en-US" w:eastAsia="zh-CN"/>
                    </w:rPr>
                    <w:t>/</w:t>
                  </w:r>
                </w:p>
              </w:tc>
              <w:tc>
                <w:tcPr>
                  <w:tcW w:w="377" w:type="pct"/>
                  <w:noWrap w:val="0"/>
                  <w:vAlign w:val="center"/>
                </w:tcPr>
                <w:p w14:paraId="07ACA358">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合格</w:t>
                  </w:r>
                </w:p>
              </w:tc>
              <w:tc>
                <w:tcPr>
                  <w:tcW w:w="701" w:type="pct"/>
                  <w:vMerge w:val="continue"/>
                  <w:noWrap w:val="0"/>
                  <w:vAlign w:val="center"/>
                </w:tcPr>
                <w:p w14:paraId="40D24B7E">
                  <w:pPr>
                    <w:jc w:val="center"/>
                    <w:rPr>
                      <w:rFonts w:hint="default" w:eastAsia="宋体"/>
                      <w:color w:val="000000"/>
                      <w:szCs w:val="21"/>
                      <w:highlight w:val="none"/>
                      <w:lang w:val="en-US" w:eastAsia="zh-CN"/>
                    </w:rPr>
                  </w:pPr>
                </w:p>
              </w:tc>
            </w:tr>
            <w:tr w14:paraId="45436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5" w:type="pct"/>
                <w:trHeight w:val="454" w:hRule="atLeast"/>
                <w:jc w:val="center"/>
              </w:trPr>
              <w:tc>
                <w:tcPr>
                  <w:tcW w:w="492" w:type="pct"/>
                  <w:noWrap w:val="0"/>
                  <w:vAlign w:val="center"/>
                </w:tcPr>
                <w:p w14:paraId="2986B251">
                  <w:pPr>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3</w:t>
                  </w:r>
                </w:p>
              </w:tc>
              <w:tc>
                <w:tcPr>
                  <w:tcW w:w="946" w:type="pct"/>
                  <w:noWrap w:val="0"/>
                  <w:vAlign w:val="center"/>
                </w:tcPr>
                <w:p w14:paraId="2599D2DE">
                  <w:pPr>
                    <w:jc w:val="center"/>
                    <w:rPr>
                      <w:color w:val="0000FF"/>
                      <w:szCs w:val="21"/>
                      <w:highlight w:val="none"/>
                    </w:rPr>
                  </w:pPr>
                  <w:r>
                    <w:rPr>
                      <w:rFonts w:hint="eastAsia"/>
                      <w:color w:val="000000"/>
                      <w:szCs w:val="21"/>
                      <w:highlight w:val="none"/>
                      <w:lang w:eastAsia="zh-CN"/>
                    </w:rPr>
                    <w:t>生活</w:t>
                  </w:r>
                </w:p>
              </w:tc>
              <w:tc>
                <w:tcPr>
                  <w:tcW w:w="1057" w:type="pct"/>
                  <w:noWrap w:val="0"/>
                  <w:vAlign w:val="center"/>
                </w:tcPr>
                <w:p w14:paraId="69474B08">
                  <w:pPr>
                    <w:jc w:val="center"/>
                    <w:rPr>
                      <w:rFonts w:hint="default"/>
                      <w:color w:val="0000FF"/>
                      <w:szCs w:val="21"/>
                      <w:highlight w:val="none"/>
                      <w:lang w:val="en-US"/>
                    </w:rPr>
                  </w:pPr>
                  <w:r>
                    <w:rPr>
                      <w:rFonts w:hint="eastAsia"/>
                      <w:color w:val="000000"/>
                      <w:szCs w:val="21"/>
                      <w:highlight w:val="none"/>
                      <w:lang w:eastAsia="zh-CN"/>
                    </w:rPr>
                    <w:t>＜</w:t>
                  </w:r>
                  <w:r>
                    <w:rPr>
                      <w:rFonts w:hint="eastAsia"/>
                      <w:color w:val="000000"/>
                      <w:szCs w:val="21"/>
                      <w:highlight w:val="none"/>
                      <w:lang w:val="en-US" w:eastAsia="zh-CN"/>
                    </w:rPr>
                    <w:t>56.1</w:t>
                  </w:r>
                </w:p>
              </w:tc>
              <w:tc>
                <w:tcPr>
                  <w:tcW w:w="910" w:type="pct"/>
                  <w:noWrap w:val="0"/>
                  <w:vAlign w:val="center"/>
                </w:tcPr>
                <w:p w14:paraId="65B0B333">
                  <w:pPr>
                    <w:jc w:val="center"/>
                    <w:rPr>
                      <w:color w:val="0000FF"/>
                      <w:highlight w:val="none"/>
                    </w:rPr>
                  </w:pPr>
                  <w:r>
                    <w:rPr>
                      <w:rFonts w:hint="eastAsia"/>
                      <w:color w:val="000000"/>
                      <w:szCs w:val="21"/>
                      <w:highlight w:val="none"/>
                      <w:lang w:eastAsia="zh-CN"/>
                    </w:rPr>
                    <w:t>≤</w:t>
                  </w:r>
                  <w:r>
                    <w:rPr>
                      <w:rFonts w:hint="eastAsia"/>
                      <w:color w:val="000000"/>
                      <w:szCs w:val="21"/>
                      <w:highlight w:val="none"/>
                      <w:lang w:val="en-US" w:eastAsia="zh-CN"/>
                    </w:rPr>
                    <w:t>60</w:t>
                  </w:r>
                </w:p>
              </w:tc>
              <w:tc>
                <w:tcPr>
                  <w:tcW w:w="498" w:type="pct"/>
                  <w:noWrap w:val="0"/>
                  <w:vAlign w:val="center"/>
                </w:tcPr>
                <w:p w14:paraId="20478786">
                  <w:pPr>
                    <w:jc w:val="center"/>
                    <w:rPr>
                      <w:rFonts w:hint="default" w:eastAsia="宋体"/>
                      <w:color w:val="000000"/>
                      <w:szCs w:val="21"/>
                      <w:highlight w:val="none"/>
                      <w:lang w:val="en-US" w:eastAsia="zh-CN"/>
                    </w:rPr>
                  </w:pPr>
                  <w:r>
                    <w:rPr>
                      <w:rFonts w:hint="eastAsia"/>
                      <w:color w:val="000000"/>
                      <w:szCs w:val="21"/>
                      <w:highlight w:val="none"/>
                      <w:lang w:val="en-US" w:eastAsia="zh-CN"/>
                    </w:rPr>
                    <w:t>/</w:t>
                  </w:r>
                </w:p>
              </w:tc>
              <w:tc>
                <w:tcPr>
                  <w:tcW w:w="377" w:type="pct"/>
                  <w:noWrap w:val="0"/>
                  <w:vAlign w:val="center"/>
                </w:tcPr>
                <w:p w14:paraId="5EBC8339">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合格</w:t>
                  </w:r>
                </w:p>
              </w:tc>
              <w:tc>
                <w:tcPr>
                  <w:tcW w:w="701" w:type="pct"/>
                  <w:vMerge w:val="continue"/>
                  <w:noWrap w:val="0"/>
                  <w:vAlign w:val="center"/>
                </w:tcPr>
                <w:p w14:paraId="2BEB070A">
                  <w:pPr>
                    <w:jc w:val="center"/>
                    <w:rPr>
                      <w:color w:val="000000"/>
                      <w:szCs w:val="21"/>
                      <w:highlight w:val="none"/>
                    </w:rPr>
                  </w:pPr>
                </w:p>
              </w:tc>
            </w:tr>
            <w:tr w14:paraId="6CF9B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5" w:type="pct"/>
                <w:trHeight w:val="454" w:hRule="atLeast"/>
                <w:jc w:val="center"/>
              </w:trPr>
              <w:tc>
                <w:tcPr>
                  <w:tcW w:w="492" w:type="pct"/>
                  <w:noWrap w:val="0"/>
                  <w:vAlign w:val="center"/>
                </w:tcPr>
                <w:p w14:paraId="2A4C73DE">
                  <w:pPr>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4</w:t>
                  </w:r>
                </w:p>
              </w:tc>
              <w:tc>
                <w:tcPr>
                  <w:tcW w:w="946" w:type="pct"/>
                  <w:noWrap w:val="0"/>
                  <w:vAlign w:val="center"/>
                </w:tcPr>
                <w:p w14:paraId="17454F24">
                  <w:pPr>
                    <w:jc w:val="center"/>
                    <w:rPr>
                      <w:color w:val="0000FF"/>
                      <w:szCs w:val="21"/>
                      <w:highlight w:val="none"/>
                    </w:rPr>
                  </w:pPr>
                  <w:r>
                    <w:rPr>
                      <w:rFonts w:hint="eastAsia"/>
                      <w:color w:val="000000"/>
                      <w:szCs w:val="21"/>
                      <w:highlight w:val="none"/>
                      <w:lang w:eastAsia="zh-CN"/>
                    </w:rPr>
                    <w:t>生活</w:t>
                  </w:r>
                </w:p>
              </w:tc>
              <w:tc>
                <w:tcPr>
                  <w:tcW w:w="1057" w:type="pct"/>
                  <w:noWrap w:val="0"/>
                  <w:vAlign w:val="center"/>
                </w:tcPr>
                <w:p w14:paraId="575515BE">
                  <w:pPr>
                    <w:jc w:val="center"/>
                    <w:rPr>
                      <w:rFonts w:hint="default"/>
                      <w:color w:val="0000FF"/>
                      <w:highlight w:val="none"/>
                      <w:lang w:val="en-US"/>
                    </w:rPr>
                  </w:pPr>
                  <w:r>
                    <w:rPr>
                      <w:rFonts w:hint="eastAsia"/>
                      <w:color w:val="000000"/>
                      <w:szCs w:val="21"/>
                      <w:highlight w:val="none"/>
                      <w:lang w:eastAsia="zh-CN"/>
                    </w:rPr>
                    <w:t>＜</w:t>
                  </w:r>
                  <w:r>
                    <w:rPr>
                      <w:rFonts w:hint="eastAsia"/>
                      <w:color w:val="000000"/>
                      <w:szCs w:val="21"/>
                      <w:highlight w:val="none"/>
                      <w:lang w:val="en-US" w:eastAsia="zh-CN"/>
                    </w:rPr>
                    <w:t>56.4</w:t>
                  </w:r>
                </w:p>
              </w:tc>
              <w:tc>
                <w:tcPr>
                  <w:tcW w:w="910" w:type="pct"/>
                  <w:noWrap w:val="0"/>
                  <w:vAlign w:val="center"/>
                </w:tcPr>
                <w:p w14:paraId="37B5365D">
                  <w:pPr>
                    <w:jc w:val="center"/>
                    <w:rPr>
                      <w:color w:val="0000FF"/>
                      <w:szCs w:val="21"/>
                      <w:highlight w:val="none"/>
                    </w:rPr>
                  </w:pPr>
                  <w:r>
                    <w:rPr>
                      <w:rFonts w:hint="eastAsia"/>
                      <w:color w:val="000000"/>
                      <w:szCs w:val="21"/>
                      <w:highlight w:val="none"/>
                      <w:lang w:eastAsia="zh-CN"/>
                    </w:rPr>
                    <w:t>≤</w:t>
                  </w:r>
                  <w:r>
                    <w:rPr>
                      <w:rFonts w:hint="eastAsia"/>
                      <w:color w:val="000000"/>
                      <w:szCs w:val="21"/>
                      <w:highlight w:val="none"/>
                      <w:lang w:val="en-US" w:eastAsia="zh-CN"/>
                    </w:rPr>
                    <w:t>60</w:t>
                  </w:r>
                </w:p>
              </w:tc>
              <w:tc>
                <w:tcPr>
                  <w:tcW w:w="498" w:type="pct"/>
                  <w:noWrap w:val="0"/>
                  <w:vAlign w:val="center"/>
                </w:tcPr>
                <w:p w14:paraId="668529E0">
                  <w:pPr>
                    <w:jc w:val="center"/>
                    <w:rPr>
                      <w:rFonts w:hint="default" w:eastAsia="宋体"/>
                      <w:color w:val="000000"/>
                      <w:szCs w:val="21"/>
                      <w:highlight w:val="none"/>
                      <w:lang w:val="en-US" w:eastAsia="zh-CN"/>
                    </w:rPr>
                  </w:pPr>
                  <w:r>
                    <w:rPr>
                      <w:rFonts w:hint="eastAsia"/>
                      <w:color w:val="000000"/>
                      <w:szCs w:val="21"/>
                      <w:highlight w:val="none"/>
                      <w:lang w:val="en-US" w:eastAsia="zh-CN"/>
                    </w:rPr>
                    <w:t>/</w:t>
                  </w:r>
                </w:p>
              </w:tc>
              <w:tc>
                <w:tcPr>
                  <w:tcW w:w="377" w:type="pct"/>
                  <w:noWrap w:val="0"/>
                  <w:vAlign w:val="center"/>
                </w:tcPr>
                <w:p w14:paraId="44AA6BFD">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合格</w:t>
                  </w:r>
                </w:p>
              </w:tc>
              <w:tc>
                <w:tcPr>
                  <w:tcW w:w="701" w:type="pct"/>
                  <w:vMerge w:val="continue"/>
                  <w:noWrap w:val="0"/>
                  <w:vAlign w:val="center"/>
                </w:tcPr>
                <w:p w14:paraId="4BD0D1CA">
                  <w:pPr>
                    <w:jc w:val="center"/>
                    <w:rPr>
                      <w:color w:val="000000"/>
                      <w:szCs w:val="21"/>
                      <w:highlight w:val="none"/>
                    </w:rPr>
                  </w:pPr>
                </w:p>
              </w:tc>
            </w:tr>
            <w:tr w14:paraId="6F6D5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5" w:type="pct"/>
                <w:trHeight w:val="454" w:hRule="atLeast"/>
                <w:jc w:val="center"/>
              </w:trPr>
              <w:tc>
                <w:tcPr>
                  <w:tcW w:w="492" w:type="pct"/>
                  <w:noWrap w:val="0"/>
                  <w:vAlign w:val="center"/>
                </w:tcPr>
                <w:p w14:paraId="47FE45B3">
                  <w:pPr>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5</w:t>
                  </w:r>
                </w:p>
              </w:tc>
              <w:tc>
                <w:tcPr>
                  <w:tcW w:w="946" w:type="pct"/>
                  <w:noWrap w:val="0"/>
                  <w:vAlign w:val="center"/>
                </w:tcPr>
                <w:p w14:paraId="780B7516">
                  <w:pPr>
                    <w:jc w:val="center"/>
                    <w:rPr>
                      <w:rFonts w:hint="eastAsia"/>
                      <w:color w:val="0000FF"/>
                      <w:kern w:val="2"/>
                      <w:sz w:val="21"/>
                      <w:szCs w:val="21"/>
                      <w:highlight w:val="none"/>
                      <w:lang w:val="en-US" w:eastAsia="zh-CN" w:bidi="ar-SA"/>
                    </w:rPr>
                  </w:pPr>
                  <w:r>
                    <w:rPr>
                      <w:rFonts w:hint="eastAsia"/>
                      <w:color w:val="000000"/>
                      <w:szCs w:val="21"/>
                      <w:highlight w:val="none"/>
                      <w:lang w:eastAsia="zh-CN"/>
                    </w:rPr>
                    <w:t>生活</w:t>
                  </w:r>
                </w:p>
              </w:tc>
              <w:tc>
                <w:tcPr>
                  <w:tcW w:w="1057" w:type="pct"/>
                  <w:noWrap w:val="0"/>
                  <w:vAlign w:val="center"/>
                </w:tcPr>
                <w:p w14:paraId="0A87B54B">
                  <w:pPr>
                    <w:jc w:val="center"/>
                    <w:rPr>
                      <w:rFonts w:hint="default"/>
                      <w:color w:val="0000FF"/>
                      <w:kern w:val="2"/>
                      <w:sz w:val="21"/>
                      <w:szCs w:val="21"/>
                      <w:highlight w:val="no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56.2</w:t>
                  </w:r>
                </w:p>
              </w:tc>
              <w:tc>
                <w:tcPr>
                  <w:tcW w:w="910" w:type="pct"/>
                  <w:noWrap w:val="0"/>
                  <w:vAlign w:val="center"/>
                </w:tcPr>
                <w:p w14:paraId="5207AD69">
                  <w:pPr>
                    <w:jc w:val="center"/>
                    <w:rPr>
                      <w:rFonts w:hint="eastAsia"/>
                      <w:color w:val="0000FF"/>
                      <w:kern w:val="2"/>
                      <w:sz w:val="21"/>
                      <w:szCs w:val="24"/>
                      <w:highlight w:val="no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60</w:t>
                  </w:r>
                </w:p>
              </w:tc>
              <w:tc>
                <w:tcPr>
                  <w:tcW w:w="498" w:type="pct"/>
                  <w:noWrap w:val="0"/>
                  <w:vAlign w:val="center"/>
                </w:tcPr>
                <w:p w14:paraId="3AD1491D">
                  <w:pPr>
                    <w:jc w:val="center"/>
                    <w:rPr>
                      <w:rFonts w:hint="eastAsia" w:eastAsia="宋体"/>
                      <w:color w:val="000000"/>
                      <w:kern w:val="2"/>
                      <w:sz w:val="21"/>
                      <w:szCs w:val="21"/>
                      <w:highlight w:val="none"/>
                      <w:lang w:val="en-US" w:eastAsia="zh-CN" w:bidi="ar-SA"/>
                    </w:rPr>
                  </w:pPr>
                  <w:r>
                    <w:rPr>
                      <w:rFonts w:hint="eastAsia"/>
                      <w:color w:val="000000"/>
                      <w:szCs w:val="21"/>
                      <w:highlight w:val="none"/>
                      <w:lang w:val="en-US" w:eastAsia="zh-CN"/>
                    </w:rPr>
                    <w:t>/</w:t>
                  </w:r>
                </w:p>
              </w:tc>
              <w:tc>
                <w:tcPr>
                  <w:tcW w:w="377" w:type="pct"/>
                  <w:noWrap w:val="0"/>
                  <w:vAlign w:val="center"/>
                </w:tcPr>
                <w:p w14:paraId="79389D33">
                  <w:pPr>
                    <w:jc w:val="center"/>
                    <w:rPr>
                      <w:rFonts w:hint="eastAsia"/>
                      <w:color w:val="000000"/>
                      <w:szCs w:val="21"/>
                      <w:highlight w:val="none"/>
                      <w:lang w:val="en-US" w:eastAsia="zh-CN"/>
                    </w:rPr>
                  </w:pPr>
                  <w:r>
                    <w:rPr>
                      <w:rFonts w:hint="eastAsia" w:eastAsia="宋体"/>
                      <w:color w:val="000000"/>
                      <w:szCs w:val="21"/>
                      <w:highlight w:val="none"/>
                      <w:lang w:val="en-US" w:eastAsia="zh-CN"/>
                    </w:rPr>
                    <w:t>合格</w:t>
                  </w:r>
                </w:p>
              </w:tc>
              <w:tc>
                <w:tcPr>
                  <w:tcW w:w="701" w:type="pct"/>
                  <w:vMerge w:val="continue"/>
                  <w:noWrap w:val="0"/>
                  <w:vAlign w:val="center"/>
                </w:tcPr>
                <w:p w14:paraId="0D979AA5">
                  <w:pPr>
                    <w:jc w:val="center"/>
                    <w:rPr>
                      <w:color w:val="000000"/>
                      <w:szCs w:val="21"/>
                      <w:highlight w:val="none"/>
                    </w:rPr>
                  </w:pPr>
                </w:p>
              </w:tc>
            </w:tr>
            <w:tr w14:paraId="5FB52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5" w:type="pct"/>
                <w:trHeight w:val="454" w:hRule="atLeast"/>
                <w:jc w:val="center"/>
              </w:trPr>
              <w:tc>
                <w:tcPr>
                  <w:tcW w:w="492" w:type="pct"/>
                  <w:noWrap w:val="0"/>
                  <w:vAlign w:val="center"/>
                </w:tcPr>
                <w:p w14:paraId="5BD1DA8C">
                  <w:pPr>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6</w:t>
                  </w:r>
                </w:p>
              </w:tc>
              <w:tc>
                <w:tcPr>
                  <w:tcW w:w="946" w:type="pct"/>
                  <w:noWrap w:val="0"/>
                  <w:vAlign w:val="center"/>
                </w:tcPr>
                <w:p w14:paraId="247B7369">
                  <w:pPr>
                    <w:jc w:val="center"/>
                    <w:rPr>
                      <w:rFonts w:hint="eastAsia"/>
                      <w:color w:val="0000FF"/>
                      <w:kern w:val="2"/>
                      <w:sz w:val="21"/>
                      <w:szCs w:val="21"/>
                      <w:highlight w:val="none"/>
                      <w:lang w:val="en-US" w:eastAsia="zh-CN" w:bidi="ar-SA"/>
                    </w:rPr>
                  </w:pPr>
                  <w:r>
                    <w:rPr>
                      <w:rFonts w:hint="eastAsia"/>
                      <w:color w:val="000000"/>
                      <w:szCs w:val="21"/>
                      <w:highlight w:val="none"/>
                      <w:lang w:eastAsia="zh-CN"/>
                    </w:rPr>
                    <w:t>生活</w:t>
                  </w:r>
                </w:p>
              </w:tc>
              <w:tc>
                <w:tcPr>
                  <w:tcW w:w="1057" w:type="pct"/>
                  <w:noWrap w:val="0"/>
                  <w:vAlign w:val="center"/>
                </w:tcPr>
                <w:p w14:paraId="217BBD86">
                  <w:pPr>
                    <w:jc w:val="center"/>
                    <w:rPr>
                      <w:rFonts w:hint="default"/>
                      <w:color w:val="0000FF"/>
                      <w:kern w:val="2"/>
                      <w:sz w:val="21"/>
                      <w:szCs w:val="24"/>
                      <w:highlight w:val="no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56.6</w:t>
                  </w:r>
                </w:p>
              </w:tc>
              <w:tc>
                <w:tcPr>
                  <w:tcW w:w="910" w:type="pct"/>
                  <w:noWrap w:val="0"/>
                  <w:vAlign w:val="center"/>
                </w:tcPr>
                <w:p w14:paraId="4143B392">
                  <w:pPr>
                    <w:jc w:val="center"/>
                    <w:rPr>
                      <w:rFonts w:hint="eastAsia"/>
                      <w:color w:val="0000FF"/>
                      <w:kern w:val="2"/>
                      <w:sz w:val="21"/>
                      <w:szCs w:val="21"/>
                      <w:highlight w:val="no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60</w:t>
                  </w:r>
                </w:p>
              </w:tc>
              <w:tc>
                <w:tcPr>
                  <w:tcW w:w="498" w:type="pct"/>
                  <w:noWrap w:val="0"/>
                  <w:vAlign w:val="center"/>
                </w:tcPr>
                <w:p w14:paraId="4B13DDAD">
                  <w:pPr>
                    <w:jc w:val="center"/>
                    <w:rPr>
                      <w:rFonts w:hint="eastAsia" w:eastAsia="宋体"/>
                      <w:color w:val="000000"/>
                      <w:kern w:val="2"/>
                      <w:sz w:val="21"/>
                      <w:szCs w:val="21"/>
                      <w:highlight w:val="none"/>
                      <w:lang w:val="en-US" w:eastAsia="zh-CN" w:bidi="ar-SA"/>
                    </w:rPr>
                  </w:pPr>
                  <w:r>
                    <w:rPr>
                      <w:rFonts w:hint="eastAsia"/>
                      <w:color w:val="000000"/>
                      <w:szCs w:val="21"/>
                      <w:highlight w:val="none"/>
                      <w:lang w:val="en-US" w:eastAsia="zh-CN"/>
                    </w:rPr>
                    <w:t>/</w:t>
                  </w:r>
                </w:p>
              </w:tc>
              <w:tc>
                <w:tcPr>
                  <w:tcW w:w="377" w:type="pct"/>
                  <w:noWrap w:val="0"/>
                  <w:vAlign w:val="center"/>
                </w:tcPr>
                <w:p w14:paraId="1AA3E9D0">
                  <w:pPr>
                    <w:jc w:val="center"/>
                    <w:rPr>
                      <w:rFonts w:hint="eastAsia"/>
                      <w:color w:val="000000"/>
                      <w:szCs w:val="21"/>
                      <w:highlight w:val="none"/>
                      <w:lang w:val="en-US" w:eastAsia="zh-CN"/>
                    </w:rPr>
                  </w:pPr>
                  <w:r>
                    <w:rPr>
                      <w:rFonts w:hint="eastAsia" w:eastAsia="宋体"/>
                      <w:color w:val="000000"/>
                      <w:szCs w:val="21"/>
                      <w:highlight w:val="none"/>
                      <w:lang w:val="en-US" w:eastAsia="zh-CN"/>
                    </w:rPr>
                    <w:t>合格</w:t>
                  </w:r>
                </w:p>
              </w:tc>
              <w:tc>
                <w:tcPr>
                  <w:tcW w:w="701" w:type="pct"/>
                  <w:vMerge w:val="continue"/>
                  <w:noWrap w:val="0"/>
                  <w:vAlign w:val="center"/>
                </w:tcPr>
                <w:p w14:paraId="7599AB49">
                  <w:pPr>
                    <w:jc w:val="center"/>
                    <w:rPr>
                      <w:color w:val="000000"/>
                      <w:szCs w:val="21"/>
                      <w:highlight w:val="none"/>
                    </w:rPr>
                  </w:pPr>
                </w:p>
              </w:tc>
            </w:tr>
            <w:tr w14:paraId="7D28C1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92" w:type="pct"/>
                  <w:noWrap w:val="0"/>
                  <w:vAlign w:val="center"/>
                </w:tcPr>
                <w:p w14:paraId="44B5138A">
                  <w:pPr>
                    <w:spacing w:before="93" w:beforeLines="30" w:after="93" w:afterLines="30" w:line="0" w:lineRule="atLeast"/>
                    <w:jc w:val="center"/>
                    <w:rPr>
                      <w:rFonts w:ascii="宋体" w:hAnsi="宋体"/>
                      <w:b/>
                      <w:color w:val="0000FF"/>
                      <w:szCs w:val="21"/>
                      <w:highlight w:val="none"/>
                    </w:rPr>
                  </w:pPr>
                  <w:r>
                    <w:rPr>
                      <w:rFonts w:hint="eastAsia" w:ascii="宋体" w:hAnsi="宋体"/>
                      <w:b/>
                      <w:bCs/>
                      <w:color w:val="000000"/>
                      <w:highlight w:val="none"/>
                    </w:rPr>
                    <w:t>备注</w:t>
                  </w:r>
                </w:p>
              </w:tc>
              <w:tc>
                <w:tcPr>
                  <w:tcW w:w="4507" w:type="pct"/>
                  <w:gridSpan w:val="7"/>
                  <w:noWrap w:val="0"/>
                  <w:vAlign w:val="top"/>
                </w:tcPr>
                <w:p w14:paraId="26658ACD">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宋体" w:hAnsi="宋体" w:eastAsia="宋体"/>
                      <w:color w:val="0000FF"/>
                      <w:szCs w:val="21"/>
                      <w:highlight w:val="none"/>
                      <w:lang w:eastAsia="zh-CN"/>
                    </w:rPr>
                  </w:pPr>
                  <w:r>
                    <w:rPr>
                      <w:rFonts w:hint="eastAsia"/>
                      <w:color w:val="000000"/>
                      <w:szCs w:val="21"/>
                      <w:highlight w:val="none"/>
                      <w:lang w:eastAsia="zh-CN"/>
                    </w:rPr>
                    <w:t>该公司夜间没有生产，夜间厂界噪声不予监测。</w:t>
                  </w:r>
                </w:p>
              </w:tc>
            </w:tr>
          </w:tbl>
          <w:p w14:paraId="775AEBC7">
            <w:pPr>
              <w:pStyle w:val="2"/>
              <w:spacing w:before="157" w:beforeLines="50" w:after="0"/>
              <w:ind w:left="0" w:leftChars="0"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④</w:t>
            </w:r>
            <w:r>
              <w:rPr>
                <w:rFonts w:hint="eastAsia" w:ascii="Times New Roman" w:hAnsi="Times New Roman" w:cs="Times New Roman"/>
                <w:color w:val="auto"/>
                <w:sz w:val="24"/>
                <w:highlight w:val="none"/>
                <w:lang w:val="en-US" w:eastAsia="zh-CN"/>
              </w:rPr>
              <w:t>固体废物</w:t>
            </w:r>
          </w:p>
          <w:p w14:paraId="143A0B21">
            <w:pPr>
              <w:widowControl/>
              <w:spacing w:beforeLines="0"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项目生产废料集中收集后出售；生活垃圾集中收集后由环卫部门统一清运。</w:t>
            </w:r>
          </w:p>
          <w:p w14:paraId="38509F50">
            <w:pPr>
              <w:pStyle w:val="2"/>
              <w:spacing w:before="157" w:beforeLines="50" w:after="0"/>
              <w:ind w:left="0" w:leftChars="0" w:firstLine="480"/>
              <w:rPr>
                <w:rFonts w:hint="default" w:ascii="Times New Roman" w:hAnsi="Times New Roman" w:cs="Times New Roman"/>
                <w:b w:val="0"/>
                <w:bCs w:val="0"/>
                <w:highlight w:val="none"/>
                <w:lang w:eastAsia="zh-CN"/>
              </w:rPr>
            </w:pPr>
            <w:r>
              <w:rPr>
                <w:rFonts w:hint="eastAsia" w:ascii="Times New Roman" w:hAnsi="Times New Roman" w:cs="Times New Roman"/>
                <w:b w:val="0"/>
                <w:bCs w:val="0"/>
                <w:highlight w:val="none"/>
                <w:lang w:val="en-US" w:eastAsia="zh-CN"/>
              </w:rPr>
              <w:t>（5）现有项目污染物排放汇总</w:t>
            </w:r>
          </w:p>
          <w:p w14:paraId="34FFC780">
            <w:pPr>
              <w:spacing w:line="240" w:lineRule="auto"/>
              <w:ind w:firstLine="0" w:firstLineChars="0"/>
              <w:jc w:val="center"/>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表</w:t>
            </w:r>
            <w:r>
              <w:rPr>
                <w:rFonts w:hint="eastAsia" w:ascii="Times New Roman" w:hAnsi="Times New Roman" w:eastAsia="宋体"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lang w:val="en-US" w:eastAsia="zh-CN"/>
              </w:rPr>
              <w:t>-</w:t>
            </w:r>
            <w:r>
              <w:rPr>
                <w:rFonts w:hint="eastAsia" w:ascii="Times New Roman" w:hAnsi="Times New Roman" w:eastAsia="宋体" w:cs="Times New Roman"/>
                <w:b/>
                <w:bCs/>
                <w:color w:val="000000"/>
                <w:sz w:val="24"/>
                <w:highlight w:val="none"/>
                <w:lang w:val="en-US" w:eastAsia="zh-CN"/>
              </w:rPr>
              <w:t>9 现有项目主要污染物排放情况汇总</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396"/>
              <w:gridCol w:w="2293"/>
              <w:gridCol w:w="2293"/>
            </w:tblGrid>
            <w:tr w14:paraId="6DE18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tcBorders>
                    <w:tl2br w:val="nil"/>
                    <w:tr2bl w:val="nil"/>
                  </w:tcBorders>
                  <w:noWrap w:val="0"/>
                  <w:vAlign w:val="center"/>
                </w:tcPr>
                <w:p w14:paraId="5690040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类别</w:t>
                  </w:r>
                </w:p>
              </w:tc>
              <w:tc>
                <w:tcPr>
                  <w:tcW w:w="1508" w:type="pct"/>
                  <w:tcBorders>
                    <w:tl2br w:val="nil"/>
                    <w:tr2bl w:val="nil"/>
                  </w:tcBorders>
                  <w:noWrap w:val="0"/>
                  <w:vAlign w:val="center"/>
                </w:tcPr>
                <w:p w14:paraId="45AF958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排放污染物</w:t>
                  </w:r>
                </w:p>
              </w:tc>
              <w:tc>
                <w:tcPr>
                  <w:tcW w:w="1443" w:type="pct"/>
                  <w:tcBorders>
                    <w:tl2br w:val="nil"/>
                    <w:tr2bl w:val="nil"/>
                  </w:tcBorders>
                  <w:noWrap w:val="0"/>
                  <w:vAlign w:val="center"/>
                </w:tcPr>
                <w:p w14:paraId="3A93E1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实际排放量（吨）</w:t>
                  </w:r>
                </w:p>
              </w:tc>
              <w:tc>
                <w:tcPr>
                  <w:tcW w:w="1443" w:type="pct"/>
                  <w:tcBorders>
                    <w:tl2br w:val="nil"/>
                    <w:tr2bl w:val="nil"/>
                  </w:tcBorders>
                  <w:noWrap w:val="0"/>
                  <w:vAlign w:val="center"/>
                </w:tcPr>
                <w:p w14:paraId="743A9D5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总量控制指标（吨）</w:t>
                  </w:r>
                </w:p>
              </w:tc>
            </w:tr>
            <w:tr w14:paraId="6BBDE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vMerge w:val="restart"/>
                  <w:tcBorders>
                    <w:tl2br w:val="nil"/>
                    <w:tr2bl w:val="nil"/>
                  </w:tcBorders>
                  <w:noWrap w:val="0"/>
                  <w:vAlign w:val="center"/>
                </w:tcPr>
                <w:p w14:paraId="1C4BDE9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废水</w:t>
                  </w:r>
                </w:p>
              </w:tc>
              <w:tc>
                <w:tcPr>
                  <w:tcW w:w="1508" w:type="pct"/>
                  <w:tcBorders>
                    <w:tl2br w:val="nil"/>
                    <w:tr2bl w:val="nil"/>
                  </w:tcBorders>
                  <w:noWrap w:val="0"/>
                  <w:vAlign w:val="center"/>
                </w:tcPr>
                <w:p w14:paraId="4B31C32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废水量</w:t>
                  </w:r>
                </w:p>
              </w:tc>
              <w:tc>
                <w:tcPr>
                  <w:tcW w:w="1443" w:type="pct"/>
                  <w:tcBorders>
                    <w:tl2br w:val="nil"/>
                    <w:tr2bl w:val="nil"/>
                  </w:tcBorders>
                  <w:noWrap w:val="0"/>
                  <w:vAlign w:val="center"/>
                </w:tcPr>
                <w:p w14:paraId="0FE566C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2970</w:t>
                  </w:r>
                </w:p>
              </w:tc>
              <w:tc>
                <w:tcPr>
                  <w:tcW w:w="1443" w:type="pct"/>
                  <w:tcBorders>
                    <w:tl2br w:val="nil"/>
                    <w:tr2bl w:val="nil"/>
                  </w:tcBorders>
                  <w:noWrap w:val="0"/>
                  <w:vAlign w:val="center"/>
                </w:tcPr>
                <w:p w14:paraId="3CA9DDD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2970</w:t>
                  </w:r>
                </w:p>
              </w:tc>
            </w:tr>
            <w:tr w14:paraId="64E80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vMerge w:val="continue"/>
                  <w:tcBorders>
                    <w:tl2br w:val="nil"/>
                    <w:tr2bl w:val="nil"/>
                  </w:tcBorders>
                  <w:noWrap w:val="0"/>
                  <w:vAlign w:val="center"/>
                </w:tcPr>
                <w:p w14:paraId="6ADAD0D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p>
              </w:tc>
              <w:tc>
                <w:tcPr>
                  <w:tcW w:w="2396" w:type="dxa"/>
                  <w:tcBorders>
                    <w:tl2br w:val="nil"/>
                    <w:tr2bl w:val="nil"/>
                  </w:tcBorders>
                  <w:noWrap w:val="0"/>
                  <w:vAlign w:val="center"/>
                </w:tcPr>
                <w:p w14:paraId="4B2E94A8">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COD</w:t>
                  </w:r>
                </w:p>
              </w:tc>
              <w:tc>
                <w:tcPr>
                  <w:tcW w:w="2293" w:type="dxa"/>
                  <w:tcBorders>
                    <w:tl2br w:val="nil"/>
                    <w:tr2bl w:val="nil"/>
                  </w:tcBorders>
                  <w:noWrap w:val="0"/>
                  <w:vAlign w:val="center"/>
                </w:tcPr>
                <w:p w14:paraId="2227FB8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rPr>
                    <w:t>0.61</w:t>
                  </w:r>
                </w:p>
              </w:tc>
              <w:tc>
                <w:tcPr>
                  <w:tcW w:w="2293" w:type="dxa"/>
                  <w:tcBorders>
                    <w:tl2br w:val="nil"/>
                    <w:tr2bl w:val="nil"/>
                  </w:tcBorders>
                  <w:noWrap w:val="0"/>
                  <w:vAlign w:val="center"/>
                </w:tcPr>
                <w:p w14:paraId="6D126F8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w:t>
                  </w:r>
                </w:p>
              </w:tc>
            </w:tr>
            <w:tr w14:paraId="29187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vMerge w:val="continue"/>
                  <w:tcBorders>
                    <w:tl2br w:val="nil"/>
                    <w:tr2bl w:val="nil"/>
                  </w:tcBorders>
                  <w:noWrap w:val="0"/>
                  <w:vAlign w:val="center"/>
                </w:tcPr>
                <w:p w14:paraId="6199EB8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p>
              </w:tc>
              <w:tc>
                <w:tcPr>
                  <w:tcW w:w="2396" w:type="dxa"/>
                  <w:tcBorders>
                    <w:tl2br w:val="nil"/>
                    <w:tr2bl w:val="nil"/>
                  </w:tcBorders>
                  <w:noWrap w:val="0"/>
                  <w:vAlign w:val="center"/>
                </w:tcPr>
                <w:p w14:paraId="38749C3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SS</w:t>
                  </w:r>
                </w:p>
              </w:tc>
              <w:tc>
                <w:tcPr>
                  <w:tcW w:w="2293" w:type="dxa"/>
                  <w:tcBorders>
                    <w:tl2br w:val="nil"/>
                    <w:tr2bl w:val="nil"/>
                  </w:tcBorders>
                  <w:noWrap w:val="0"/>
                  <w:vAlign w:val="center"/>
                </w:tcPr>
                <w:p w14:paraId="7FF516D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0.18</w:t>
                  </w:r>
                </w:p>
              </w:tc>
              <w:tc>
                <w:tcPr>
                  <w:tcW w:w="2293" w:type="dxa"/>
                  <w:tcBorders>
                    <w:tl2br w:val="nil"/>
                    <w:tr2bl w:val="nil"/>
                  </w:tcBorders>
                  <w:noWrap w:val="0"/>
                  <w:vAlign w:val="center"/>
                </w:tcPr>
                <w:p w14:paraId="5A2F168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w:t>
                  </w:r>
                </w:p>
              </w:tc>
            </w:tr>
          </w:tbl>
          <w:p w14:paraId="399EB305">
            <w:pPr>
              <w:pStyle w:val="2"/>
              <w:spacing w:before="157" w:beforeLines="50" w:after="0"/>
              <w:ind w:left="0" w:leftChars="0" w:firstLine="480"/>
              <w:rPr>
                <w:rFonts w:hint="eastAsia" w:ascii="Times New Roman" w:hAnsi="Times New Roman" w:eastAsia="宋体" w:cs="Times New Roman"/>
                <w:b w:val="0"/>
                <w:bCs w:val="0"/>
                <w:sz w:val="24"/>
                <w:highlight w:val="none"/>
                <w:lang w:val="en-US" w:eastAsia="zh-CN"/>
              </w:rPr>
            </w:pPr>
            <w:r>
              <w:rPr>
                <w:rFonts w:hint="eastAsia" w:ascii="Times New Roman" w:hAnsi="Times New Roman" w:eastAsia="宋体" w:cs="Times New Roman"/>
                <w:b w:val="0"/>
                <w:bCs w:val="0"/>
                <w:sz w:val="24"/>
                <w:highlight w:val="none"/>
                <w:lang w:val="en-US" w:eastAsia="zh-CN"/>
              </w:rPr>
              <w:t>（6）企业存在的环保问题及整改措施</w:t>
            </w:r>
          </w:p>
          <w:p w14:paraId="2721E23D">
            <w:pPr>
              <w:pStyle w:val="9"/>
              <w:spacing w:line="360" w:lineRule="auto"/>
              <w:ind w:firstLine="480" w:firstLineChars="200"/>
              <w:jc w:val="both"/>
              <w:rPr>
                <w:rFonts w:hint="eastAsia" w:cs="Times New Roman"/>
                <w:b w:val="0"/>
                <w:bCs/>
                <w:color w:val="000000"/>
                <w:sz w:val="24"/>
                <w:szCs w:val="24"/>
                <w:highlight w:val="none"/>
                <w:lang w:val="en-US" w:eastAsia="zh-CN"/>
              </w:rPr>
            </w:pPr>
            <w:r>
              <w:rPr>
                <w:rFonts w:hint="eastAsia" w:cs="Times New Roman"/>
                <w:b w:val="0"/>
                <w:bCs/>
                <w:color w:val="000000"/>
                <w:sz w:val="24"/>
                <w:szCs w:val="24"/>
                <w:highlight w:val="none"/>
                <w:lang w:eastAsia="zh-CN"/>
              </w:rPr>
              <w:t>根据现场踏勘，项目现有工程存在环保问题及整改措施详见表</w:t>
            </w:r>
            <w:r>
              <w:rPr>
                <w:rFonts w:hint="eastAsia" w:cs="Times New Roman"/>
                <w:b w:val="0"/>
                <w:bCs/>
                <w:color w:val="000000"/>
                <w:sz w:val="24"/>
                <w:szCs w:val="24"/>
                <w:highlight w:val="none"/>
                <w:lang w:val="en-US" w:eastAsia="zh-CN"/>
              </w:rPr>
              <w:t>2-10</w:t>
            </w:r>
          </w:p>
          <w:p w14:paraId="5EAE5FE6">
            <w:pPr>
              <w:spacing w:line="240" w:lineRule="auto"/>
              <w:ind w:firstLine="0" w:firstLineChars="0"/>
              <w:jc w:val="center"/>
              <w:rPr>
                <w:rFonts w:hint="default" w:ascii="Times New Roman" w:hAnsi="Times New Roman" w:eastAsia="宋体" w:cs="Times New Roman"/>
                <w:b/>
                <w:bCs/>
                <w:color w:val="000000"/>
                <w:sz w:val="24"/>
                <w:highlight w:val="none"/>
                <w:lang w:val="en-US" w:eastAsia="zh-CN"/>
              </w:rPr>
            </w:pPr>
          </w:p>
          <w:p w14:paraId="7E77A64E">
            <w:pPr>
              <w:spacing w:line="240" w:lineRule="auto"/>
              <w:ind w:firstLine="0" w:firstLineChars="0"/>
              <w:jc w:val="center"/>
              <w:rPr>
                <w:rFonts w:hint="default" w:ascii="Times New Roman" w:hAnsi="Times New Roman" w:eastAsia="宋体" w:cs="Times New Roman"/>
                <w:b/>
                <w:bCs/>
                <w:color w:val="000000"/>
                <w:sz w:val="24"/>
                <w:highlight w:val="none"/>
                <w:lang w:val="en-US" w:eastAsia="zh-CN"/>
              </w:rPr>
            </w:pPr>
          </w:p>
          <w:p w14:paraId="71FC54CA">
            <w:pPr>
              <w:spacing w:line="240" w:lineRule="auto"/>
              <w:ind w:firstLine="0" w:firstLineChars="0"/>
              <w:jc w:val="center"/>
              <w:rPr>
                <w:rFonts w:hint="default" w:ascii="Times New Roman" w:hAnsi="Times New Roman" w:eastAsia="宋体" w:cs="Times New Roman"/>
                <w:b/>
                <w:bCs/>
                <w:color w:val="000000"/>
                <w:sz w:val="24"/>
                <w:highlight w:val="none"/>
                <w:lang w:val="en-US" w:eastAsia="zh-CN"/>
              </w:rPr>
            </w:pPr>
          </w:p>
          <w:p w14:paraId="0EED36E8">
            <w:pPr>
              <w:spacing w:line="240" w:lineRule="auto"/>
              <w:ind w:firstLine="0" w:firstLineChars="0"/>
              <w:jc w:val="center"/>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表</w:t>
            </w:r>
            <w:r>
              <w:rPr>
                <w:rFonts w:hint="eastAsia" w:ascii="Times New Roman" w:hAnsi="Times New Roman" w:eastAsia="宋体"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lang w:val="en-US" w:eastAsia="zh-CN"/>
              </w:rPr>
              <w:t>-</w:t>
            </w:r>
            <w:r>
              <w:rPr>
                <w:rFonts w:hint="eastAsia" w:cs="Times New Roman"/>
                <w:b/>
                <w:bCs/>
                <w:color w:val="000000"/>
                <w:sz w:val="24"/>
                <w:highlight w:val="none"/>
                <w:lang w:val="en-US" w:eastAsia="zh-CN"/>
              </w:rPr>
              <w:t>10</w:t>
            </w:r>
            <w:r>
              <w:rPr>
                <w:rFonts w:hint="eastAsia" w:ascii="Times New Roman" w:hAnsi="Times New Roman" w:eastAsia="宋体" w:cs="Times New Roman"/>
                <w:b/>
                <w:bCs/>
                <w:color w:val="000000"/>
                <w:sz w:val="24"/>
                <w:highlight w:val="none"/>
                <w:lang w:val="en-US" w:eastAsia="zh-CN"/>
              </w:rPr>
              <w:t xml:space="preserve"> </w:t>
            </w:r>
            <w:r>
              <w:rPr>
                <w:rFonts w:hint="eastAsia" w:cs="Times New Roman"/>
                <w:b/>
                <w:bCs/>
                <w:color w:val="000000"/>
                <w:sz w:val="24"/>
                <w:highlight w:val="none"/>
                <w:lang w:val="en-US" w:eastAsia="zh-CN"/>
              </w:rPr>
              <w:t>现有项目存在问题及整改措施情况</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75"/>
              <w:gridCol w:w="2190"/>
              <w:gridCol w:w="3202"/>
            </w:tblGrid>
            <w:tr w14:paraId="3A2E6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tcBorders>
                    <w:tl2br w:val="nil"/>
                    <w:tr2bl w:val="nil"/>
                  </w:tcBorders>
                  <w:noWrap w:val="0"/>
                  <w:vAlign w:val="center"/>
                </w:tcPr>
                <w:p w14:paraId="3D28C8E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类别</w:t>
                  </w:r>
                </w:p>
              </w:tc>
              <w:tc>
                <w:tcPr>
                  <w:tcW w:w="1180" w:type="pct"/>
                  <w:tcBorders>
                    <w:tl2br w:val="nil"/>
                    <w:tr2bl w:val="nil"/>
                  </w:tcBorders>
                  <w:noWrap w:val="0"/>
                  <w:vAlign w:val="center"/>
                </w:tcPr>
                <w:p w14:paraId="1129119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z w:val="21"/>
                      <w:szCs w:val="21"/>
                      <w:highlight w:val="none"/>
                      <w:lang w:eastAsia="zh-CN"/>
                    </w:rPr>
                  </w:pPr>
                  <w:r>
                    <w:rPr>
                      <w:rFonts w:hint="eastAsia" w:cs="Times New Roman"/>
                      <w:color w:val="000000"/>
                      <w:sz w:val="21"/>
                      <w:szCs w:val="21"/>
                      <w:highlight w:val="none"/>
                      <w:lang w:eastAsia="zh-CN"/>
                    </w:rPr>
                    <w:t>项目名称</w:t>
                  </w:r>
                </w:p>
              </w:tc>
              <w:tc>
                <w:tcPr>
                  <w:tcW w:w="1378" w:type="pct"/>
                  <w:tcBorders>
                    <w:tl2br w:val="nil"/>
                    <w:tr2bl w:val="nil"/>
                  </w:tcBorders>
                  <w:noWrap w:val="0"/>
                  <w:vAlign w:val="center"/>
                </w:tcPr>
                <w:p w14:paraId="4B9212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存在环保问题</w:t>
                  </w:r>
                </w:p>
              </w:tc>
              <w:tc>
                <w:tcPr>
                  <w:tcW w:w="2015" w:type="pct"/>
                  <w:tcBorders>
                    <w:tl2br w:val="nil"/>
                    <w:tr2bl w:val="nil"/>
                  </w:tcBorders>
                  <w:noWrap w:val="0"/>
                  <w:vAlign w:val="center"/>
                </w:tcPr>
                <w:p w14:paraId="561939C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整改措施</w:t>
                  </w:r>
                </w:p>
              </w:tc>
            </w:tr>
            <w:tr w14:paraId="6D18E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restart"/>
                  <w:tcBorders>
                    <w:tl2br w:val="nil"/>
                    <w:tr2bl w:val="nil"/>
                  </w:tcBorders>
                  <w:noWrap w:val="0"/>
                  <w:vAlign w:val="center"/>
                </w:tcPr>
                <w:p w14:paraId="479B6BF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环保工程</w:t>
                  </w:r>
                </w:p>
              </w:tc>
              <w:tc>
                <w:tcPr>
                  <w:tcW w:w="1180" w:type="pct"/>
                  <w:tcBorders>
                    <w:tl2br w:val="nil"/>
                    <w:tr2bl w:val="nil"/>
                  </w:tcBorders>
                  <w:noWrap w:val="0"/>
                  <w:vAlign w:val="center"/>
                </w:tcPr>
                <w:p w14:paraId="704A993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污水处理设施</w:t>
                  </w:r>
                </w:p>
              </w:tc>
              <w:tc>
                <w:tcPr>
                  <w:tcW w:w="1378" w:type="pct"/>
                  <w:tcBorders>
                    <w:tl2br w:val="nil"/>
                    <w:tr2bl w:val="nil"/>
                  </w:tcBorders>
                  <w:noWrap w:val="0"/>
                  <w:vAlign w:val="center"/>
                </w:tcPr>
                <w:p w14:paraId="441547B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排放口未规范化，制版车间清洗废水未接入废水集水池，废水处理设施老化</w:t>
                  </w:r>
                </w:p>
              </w:tc>
              <w:tc>
                <w:tcPr>
                  <w:tcW w:w="2015" w:type="pct"/>
                  <w:tcBorders>
                    <w:tl2br w:val="nil"/>
                    <w:tr2bl w:val="nil"/>
                  </w:tcBorders>
                  <w:noWrap w:val="0"/>
                  <w:vAlign w:val="center"/>
                </w:tcPr>
                <w:p w14:paraId="716E8F3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排放口规范化，制版车间清洗废水接入废水集水池，采用新建废水处理设施对废水进行处理。</w:t>
                  </w:r>
                </w:p>
              </w:tc>
            </w:tr>
            <w:tr w14:paraId="6DC74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continue"/>
                  <w:tcBorders>
                    <w:tl2br w:val="nil"/>
                    <w:tr2bl w:val="nil"/>
                  </w:tcBorders>
                  <w:noWrap w:val="0"/>
                  <w:vAlign w:val="center"/>
                </w:tcPr>
                <w:p w14:paraId="0C7FCCD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p>
              </w:tc>
              <w:tc>
                <w:tcPr>
                  <w:tcW w:w="1180" w:type="pct"/>
                  <w:tcBorders>
                    <w:tl2br w:val="nil"/>
                    <w:tr2bl w:val="nil"/>
                  </w:tcBorders>
                  <w:noWrap w:val="0"/>
                  <w:vAlign w:val="center"/>
                </w:tcPr>
                <w:p w14:paraId="4B7630D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废气处理设施</w:t>
                  </w:r>
                </w:p>
              </w:tc>
              <w:tc>
                <w:tcPr>
                  <w:tcW w:w="1378" w:type="pct"/>
                  <w:tcBorders>
                    <w:tl2br w:val="nil"/>
                    <w:tr2bl w:val="nil"/>
                  </w:tcBorders>
                  <w:noWrap w:val="0"/>
                  <w:vAlign w:val="center"/>
                </w:tcPr>
                <w:p w14:paraId="6F47DD1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val="0"/>
                      <w:color w:val="000000"/>
                      <w:sz w:val="21"/>
                      <w:szCs w:val="21"/>
                      <w:highlight w:val="none"/>
                      <w:vertAlign w:val="baseline"/>
                      <w:lang w:val="en-US" w:eastAsia="zh-CN"/>
                    </w:rPr>
                    <w:t>生产车间未安装排气扇，烘干工序未设置集气罩</w:t>
                  </w:r>
                </w:p>
              </w:tc>
              <w:tc>
                <w:tcPr>
                  <w:tcW w:w="2015" w:type="pct"/>
                  <w:tcBorders>
                    <w:tl2br w:val="nil"/>
                    <w:tr2bl w:val="nil"/>
                  </w:tcBorders>
                  <w:noWrap w:val="0"/>
                  <w:vAlign w:val="center"/>
                </w:tcPr>
                <w:p w14:paraId="696079B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拟在生产车间安装排气扇，在烘干工序设置集气罩，经集气罩收集后通过“活性炭吸附”装置处理后由一个25m高排气筒排放。</w:t>
                  </w:r>
                </w:p>
              </w:tc>
            </w:tr>
          </w:tbl>
          <w:p w14:paraId="7E98A2E2">
            <w:pPr>
              <w:rPr>
                <w:rFonts w:hint="default"/>
                <w:highlight w:val="none"/>
                <w:lang w:val="en-US" w:eastAsia="zh-CN"/>
              </w:rPr>
            </w:pPr>
          </w:p>
        </w:tc>
      </w:tr>
    </w:tbl>
    <w:p w14:paraId="1DE9A77D">
      <w:pPr>
        <w:pStyle w:val="23"/>
        <w:widowControl w:val="0"/>
        <w:adjustRightInd w:val="0"/>
        <w:snapToGrid w:val="0"/>
        <w:spacing w:before="0" w:beforeAutospacing="0" w:after="0" w:afterAutospacing="0" w:line="14" w:lineRule="auto"/>
        <w:jc w:val="center"/>
        <w:outlineLvl w:val="0"/>
        <w:rPr>
          <w:rFonts w:hint="default" w:ascii="Times New Roman" w:hAnsi="Times New Roman" w:eastAsia="宋体" w:cs="Times New Roman"/>
          <w:snapToGrid w:val="0"/>
          <w:sz w:val="30"/>
          <w:szCs w:val="30"/>
          <w:highlight w:val="none"/>
        </w:rPr>
      </w:pPr>
    </w:p>
    <w:p w14:paraId="4C954E78">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bCs w:val="0"/>
          <w:color w:val="000000"/>
          <w:kern w:val="0"/>
          <w:sz w:val="30"/>
          <w:szCs w:val="28"/>
          <w:highlight w:val="none"/>
          <w:lang w:val="en-US" w:eastAsia="zh-CN" w:bidi="ar-SA"/>
        </w:rPr>
      </w:pPr>
    </w:p>
    <w:p w14:paraId="35F57DCA">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bCs w:val="0"/>
          <w:color w:val="000000"/>
          <w:kern w:val="0"/>
          <w:sz w:val="30"/>
          <w:szCs w:val="28"/>
          <w:highlight w:val="none"/>
          <w:lang w:val="en-US" w:eastAsia="zh-CN" w:bidi="ar-SA"/>
        </w:rPr>
      </w:pPr>
    </w:p>
    <w:p w14:paraId="69F80D8C">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bCs w:val="0"/>
          <w:color w:val="000000"/>
          <w:kern w:val="0"/>
          <w:sz w:val="30"/>
          <w:szCs w:val="28"/>
          <w:highlight w:val="none"/>
          <w:lang w:val="en-US" w:eastAsia="zh-CN" w:bidi="ar-SA"/>
        </w:rPr>
      </w:pPr>
    </w:p>
    <w:p w14:paraId="04E8EEBD">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bCs w:val="0"/>
          <w:color w:val="000000"/>
          <w:kern w:val="0"/>
          <w:sz w:val="30"/>
          <w:szCs w:val="28"/>
          <w:highlight w:val="none"/>
          <w:lang w:val="en-US" w:eastAsia="zh-CN" w:bidi="ar-SA"/>
        </w:rPr>
      </w:pPr>
    </w:p>
    <w:p w14:paraId="772E8E37">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bCs w:val="0"/>
          <w:color w:val="000000"/>
          <w:kern w:val="0"/>
          <w:sz w:val="30"/>
          <w:szCs w:val="28"/>
          <w:highlight w:val="none"/>
          <w:lang w:val="en-US" w:eastAsia="zh-CN" w:bidi="ar-SA"/>
        </w:rPr>
      </w:pPr>
      <w:r>
        <w:rPr>
          <w:rFonts w:hint="default" w:ascii="Times New Roman" w:hAnsi="Times New Roman" w:eastAsia="宋体" w:cs="Times New Roman"/>
          <w:b/>
          <w:bCs w:val="0"/>
          <w:color w:val="000000"/>
          <w:kern w:val="0"/>
          <w:sz w:val="30"/>
          <w:szCs w:val="28"/>
          <w:highlight w:val="none"/>
          <w:lang w:val="en-US" w:eastAsia="zh-CN" w:bidi="ar-SA"/>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3"/>
      </w:tblGrid>
      <w:tr w14:paraId="5C792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1" w:hRule="atLeast"/>
          <w:jc w:val="center"/>
        </w:trPr>
        <w:tc>
          <w:tcPr>
            <w:tcW w:w="454" w:type="dxa"/>
            <w:noWrap w:val="0"/>
            <w:vAlign w:val="center"/>
          </w:tcPr>
          <w:p w14:paraId="0A407DF2">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14:paraId="65D480F1">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3A2FADA7">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14:paraId="0AF37791">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4"/>
                <w:szCs w:val="24"/>
                <w:highlight w:val="none"/>
              </w:rPr>
              <w:t>现状</w:t>
            </w:r>
          </w:p>
        </w:tc>
        <w:tc>
          <w:tcPr>
            <w:tcW w:w="8063" w:type="dxa"/>
            <w:noWrap w:val="0"/>
            <w:vAlign w:val="center"/>
          </w:tcPr>
          <w:p w14:paraId="3B2B2C4E">
            <w:pPr>
              <w:pStyle w:val="54"/>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bCs w:val="0"/>
                <w:color w:val="auto"/>
                <w:kern w:val="2"/>
                <w:sz w:val="28"/>
                <w:szCs w:val="28"/>
                <w:highlight w:val="none"/>
                <w:lang w:val="en-US" w:eastAsia="zh-CN" w:bidi="ar-SA"/>
              </w:rPr>
            </w:pPr>
            <w:r>
              <w:rPr>
                <w:rFonts w:hint="default" w:ascii="Times New Roman" w:hAnsi="Times New Roman" w:eastAsia="宋体" w:cs="Times New Roman"/>
                <w:b/>
                <w:bCs w:val="0"/>
                <w:color w:val="auto"/>
                <w:kern w:val="2"/>
                <w:sz w:val="28"/>
                <w:szCs w:val="28"/>
                <w:highlight w:val="none"/>
                <w:lang w:val="en-US" w:eastAsia="zh-CN" w:bidi="ar-SA"/>
              </w:rPr>
              <w:t>3.1大气环境质量现状</w:t>
            </w:r>
          </w:p>
          <w:p w14:paraId="14863AD1">
            <w:pPr>
              <w:pStyle w:val="20"/>
              <w:numPr>
                <w:ilvl w:val="0"/>
                <w:numId w:val="0"/>
              </w:numPr>
              <w:spacing w:line="360" w:lineRule="auto"/>
              <w:ind w:left="0" w:firstLine="480" w:firstLineChars="200"/>
              <w:jc w:val="both"/>
              <w:rPr>
                <w:rFonts w:hint="default" w:ascii="Times New Roman" w:hAnsi="Times New Roman" w:eastAsia="宋体" w:cs="Times New Roman"/>
                <w:b w:val="0"/>
                <w:bCs/>
                <w:color w:val="000000"/>
                <w:sz w:val="24"/>
                <w:szCs w:val="24"/>
                <w:highlight w:val="none"/>
                <w:lang w:eastAsia="zh-CN"/>
              </w:rPr>
            </w:pPr>
            <w:r>
              <w:rPr>
                <w:rFonts w:hint="eastAsia" w:ascii="Times New Roman" w:hAnsi="Times New Roman" w:eastAsia="宋体" w:cs="Times New Roman"/>
                <w:b w:val="0"/>
                <w:bCs/>
                <w:color w:val="000000"/>
                <w:sz w:val="24"/>
                <w:szCs w:val="24"/>
                <w:highlight w:val="none"/>
                <w:lang w:eastAsia="zh-CN"/>
              </w:rPr>
              <w:t>（</w:t>
            </w:r>
            <w:r>
              <w:rPr>
                <w:rFonts w:hint="eastAsia" w:ascii="Times New Roman" w:hAnsi="Times New Roman" w:eastAsia="宋体" w:cs="Times New Roman"/>
                <w:b w:val="0"/>
                <w:bCs/>
                <w:color w:val="000000"/>
                <w:sz w:val="24"/>
                <w:szCs w:val="24"/>
                <w:highlight w:val="none"/>
                <w:lang w:val="en-US" w:eastAsia="zh-CN"/>
              </w:rPr>
              <w:t>1</w:t>
            </w:r>
            <w:r>
              <w:rPr>
                <w:rFonts w:hint="eastAsia" w:ascii="Times New Roman" w:hAnsi="Times New Roman" w:eastAsia="宋体"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lang w:eastAsia="zh-CN"/>
              </w:rPr>
              <w:t>大气环境功能区划</w:t>
            </w:r>
          </w:p>
          <w:p w14:paraId="3FD0AB00">
            <w:pPr>
              <w:pStyle w:val="20"/>
              <w:spacing w:line="360" w:lineRule="auto"/>
              <w:ind w:firstLine="480" w:firstLineChars="200"/>
              <w:jc w:val="both"/>
              <w:rPr>
                <w:rFonts w:hint="default" w:ascii="Times New Roman" w:hAnsi="Times New Roman" w:eastAsia="宋体" w:cs="Times New Roman"/>
                <w:b w:val="0"/>
                <w:bCs/>
                <w:color w:val="000000"/>
                <w:sz w:val="24"/>
                <w:szCs w:val="24"/>
                <w:highlight w:val="none"/>
                <w:lang w:val="en-US" w:eastAsia="zh-CN"/>
              </w:rPr>
            </w:pPr>
            <w:r>
              <w:rPr>
                <w:rFonts w:hint="default" w:ascii="Times New Roman" w:hAnsi="Times New Roman" w:eastAsia="宋体" w:cs="Times New Roman"/>
                <w:b w:val="0"/>
                <w:bCs/>
                <w:color w:val="000000"/>
                <w:sz w:val="24"/>
                <w:szCs w:val="24"/>
                <w:highlight w:val="none"/>
                <w:lang w:val="en-US" w:eastAsia="zh-CN"/>
              </w:rPr>
              <w:t>①</w:t>
            </w:r>
            <w:r>
              <w:rPr>
                <w:rFonts w:hint="eastAsia" w:ascii="Times New Roman" w:hAnsi="Times New Roman" w:eastAsia="宋体" w:cs="Times New Roman"/>
                <w:b w:val="0"/>
                <w:bCs/>
                <w:color w:val="000000"/>
                <w:sz w:val="24"/>
                <w:szCs w:val="24"/>
                <w:highlight w:val="none"/>
                <w:lang w:val="en-US" w:eastAsia="zh-CN"/>
              </w:rPr>
              <w:t>基本污染物</w:t>
            </w:r>
          </w:p>
          <w:p w14:paraId="3C211832">
            <w:pPr>
              <w:pStyle w:val="20"/>
              <w:spacing w:line="360" w:lineRule="auto"/>
              <w:ind w:firstLine="480" w:firstLineChars="200"/>
              <w:jc w:val="both"/>
              <w:rPr>
                <w:rFonts w:hint="default" w:ascii="Times New Roman" w:hAnsi="Times New Roman" w:eastAsia="宋体" w:cs="Times New Roman"/>
                <w:b w:val="0"/>
                <w:bCs/>
                <w:color w:val="000000"/>
                <w:sz w:val="24"/>
                <w:szCs w:val="24"/>
                <w:highlight w:val="none"/>
                <w:lang w:val="en-US" w:eastAsia="zh-CN"/>
              </w:rPr>
            </w:pPr>
            <w:r>
              <w:rPr>
                <w:rFonts w:hint="default" w:ascii="Times New Roman" w:hAnsi="Times New Roman" w:eastAsia="宋体" w:cs="Times New Roman"/>
                <w:b w:val="0"/>
                <w:bCs/>
                <w:color w:val="000000"/>
                <w:sz w:val="24"/>
                <w:szCs w:val="24"/>
                <w:highlight w:val="none"/>
              </w:rPr>
              <w:t>项目所在区域环境空气质量功能类别为二类功能区，</w:t>
            </w:r>
            <w:r>
              <w:rPr>
                <w:rFonts w:hint="eastAsia" w:ascii="Times New Roman" w:hAnsi="Times New Roman" w:eastAsia="宋体" w:cs="Times New Roman"/>
                <w:b w:val="0"/>
                <w:bCs/>
                <w:color w:val="000000"/>
                <w:sz w:val="24"/>
                <w:szCs w:val="24"/>
                <w:highlight w:val="none"/>
                <w:lang w:eastAsia="zh-CN"/>
              </w:rPr>
              <w:t>基本污染物</w:t>
            </w:r>
            <w:r>
              <w:rPr>
                <w:rFonts w:hint="default" w:ascii="Times New Roman" w:hAnsi="Times New Roman" w:eastAsia="宋体" w:cs="Times New Roman"/>
                <w:b w:val="0"/>
                <w:bCs/>
                <w:color w:val="000000"/>
                <w:sz w:val="24"/>
                <w:szCs w:val="24"/>
                <w:highlight w:val="none"/>
              </w:rPr>
              <w:t>执行GB3095-2012《环境空气质量标准》二级</w:t>
            </w:r>
            <w:r>
              <w:rPr>
                <w:rFonts w:hint="eastAsia" w:ascii="Times New Roman" w:hAnsi="Times New Roman" w:eastAsia="宋体" w:cs="Times New Roman"/>
                <w:b w:val="0"/>
                <w:bCs/>
                <w:color w:val="000000"/>
                <w:sz w:val="24"/>
                <w:szCs w:val="24"/>
                <w:highlight w:val="none"/>
                <w:lang w:eastAsia="zh-CN"/>
              </w:rPr>
              <w:t>及修改单</w:t>
            </w:r>
            <w:r>
              <w:rPr>
                <w:rFonts w:hint="default" w:ascii="Times New Roman" w:hAnsi="Times New Roman" w:eastAsia="宋体" w:cs="Times New Roman"/>
                <w:b w:val="0"/>
                <w:bCs/>
                <w:color w:val="000000"/>
                <w:sz w:val="24"/>
                <w:szCs w:val="24"/>
                <w:highlight w:val="none"/>
              </w:rPr>
              <w:t>标准，</w:t>
            </w:r>
            <w:r>
              <w:rPr>
                <w:rFonts w:hint="default" w:ascii="Times New Roman" w:hAnsi="Times New Roman" w:eastAsia="宋体" w:cs="Times New Roman"/>
                <w:b w:val="0"/>
                <w:bCs/>
                <w:color w:val="000000"/>
                <w:sz w:val="24"/>
                <w:szCs w:val="24"/>
                <w:highlight w:val="none"/>
                <w:lang w:val="en-US" w:eastAsia="zh-CN"/>
              </w:rPr>
              <w:t>见表3-1。</w:t>
            </w:r>
          </w:p>
          <w:p w14:paraId="00B80E22">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表3-1 GB3095-2012《环境空气质量标准》（摘录）</w:t>
            </w:r>
            <w:r>
              <w:rPr>
                <w:rFonts w:hint="default" w:ascii="Times New Roman" w:hAnsi="Times New Roman" w:eastAsia="宋体" w:cs="Times New Roman"/>
                <w:b/>
                <w:bCs/>
                <w:color w:val="000000"/>
                <w:kern w:val="1"/>
                <w:sz w:val="24"/>
                <w:highlight w:val="none"/>
              </w:rPr>
              <w:t>单位：</w:t>
            </w:r>
            <w:r>
              <w:rPr>
                <w:rFonts w:hint="default" w:ascii="Times New Roman" w:hAnsi="Times New Roman" w:eastAsia="宋体" w:cs="Times New Roman"/>
                <w:b/>
                <w:bCs/>
                <w:color w:val="000000"/>
                <w:kern w:val="1"/>
                <w:sz w:val="24"/>
                <w:szCs w:val="22"/>
                <w:highlight w:val="none"/>
              </w:rPr>
              <w:t>μg/</w:t>
            </w:r>
            <w:r>
              <w:rPr>
                <w:rFonts w:hint="default" w:ascii="Times New Roman" w:hAnsi="Times New Roman" w:eastAsia="宋体" w:cs="Times New Roman"/>
                <w:b/>
                <w:bCs/>
                <w:color w:val="000000"/>
                <w:kern w:val="1"/>
                <w:sz w:val="24"/>
                <w:highlight w:val="none"/>
              </w:rPr>
              <w:t>m</w:t>
            </w:r>
            <w:r>
              <w:rPr>
                <w:rFonts w:hint="default" w:ascii="Times New Roman" w:hAnsi="Times New Roman" w:eastAsia="宋体" w:cs="Times New Roman"/>
                <w:b/>
                <w:bCs/>
                <w:color w:val="000000"/>
                <w:kern w:val="1"/>
                <w:sz w:val="24"/>
                <w:highlight w:val="none"/>
                <w:vertAlign w:val="superscript"/>
              </w:rPr>
              <w:t>3</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618"/>
              <w:gridCol w:w="1170"/>
              <w:gridCol w:w="1370"/>
              <w:gridCol w:w="1563"/>
              <w:gridCol w:w="2123"/>
            </w:tblGrid>
            <w:tr w14:paraId="12498D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32" w:type="pct"/>
                  <w:noWrap w:val="0"/>
                  <w:vAlign w:val="center"/>
                </w:tcPr>
                <w:p w14:paraId="0F67EFCA">
                  <w:pPr>
                    <w:tabs>
                      <w:tab w:val="left" w:pos="4620"/>
                    </w:tabs>
                    <w:jc w:val="center"/>
                    <w:rPr>
                      <w:rFonts w:hint="default" w:ascii="Times New Roman" w:hAnsi="Times New Roman" w:eastAsia="宋体" w:cs="Times New Roman"/>
                      <w:b w:val="0"/>
                      <w:bCs w:val="0"/>
                      <w:color w:val="000000"/>
                      <w:kern w:val="1"/>
                      <w:sz w:val="21"/>
                      <w:szCs w:val="21"/>
                      <w:highlight w:val="none"/>
                    </w:rPr>
                  </w:pPr>
                  <w:r>
                    <w:rPr>
                      <w:rFonts w:hint="default" w:ascii="Times New Roman" w:hAnsi="Times New Roman" w:eastAsia="宋体" w:cs="Times New Roman"/>
                      <w:b w:val="0"/>
                      <w:bCs w:val="0"/>
                      <w:color w:val="000000"/>
                      <w:kern w:val="1"/>
                      <w:sz w:val="21"/>
                      <w:szCs w:val="21"/>
                      <w:highlight w:val="none"/>
                    </w:rPr>
                    <w:t>评价因子</w:t>
                  </w:r>
                </w:p>
              </w:tc>
              <w:tc>
                <w:tcPr>
                  <w:tcW w:w="746" w:type="pct"/>
                  <w:noWrap w:val="0"/>
                  <w:vAlign w:val="center"/>
                </w:tcPr>
                <w:p w14:paraId="495C6930">
                  <w:pPr>
                    <w:tabs>
                      <w:tab w:val="left" w:pos="4620"/>
                    </w:tabs>
                    <w:jc w:val="center"/>
                    <w:rPr>
                      <w:rFonts w:hint="default" w:ascii="Times New Roman" w:hAnsi="Times New Roman" w:eastAsia="宋体" w:cs="Times New Roman"/>
                      <w:b w:val="0"/>
                      <w:bCs w:val="0"/>
                      <w:color w:val="000000"/>
                      <w:kern w:val="1"/>
                      <w:sz w:val="21"/>
                      <w:szCs w:val="21"/>
                      <w:highlight w:val="none"/>
                    </w:rPr>
                  </w:pPr>
                  <w:r>
                    <w:rPr>
                      <w:rFonts w:hint="default" w:ascii="Times New Roman" w:hAnsi="Times New Roman" w:eastAsia="宋体" w:cs="Times New Roman"/>
                      <w:b w:val="0"/>
                      <w:bCs w:val="0"/>
                      <w:color w:val="000000"/>
                      <w:kern w:val="1"/>
                      <w:sz w:val="21"/>
                      <w:szCs w:val="21"/>
                      <w:highlight w:val="none"/>
                    </w:rPr>
                    <w:t>年平均浓度限值</w:t>
                  </w:r>
                </w:p>
              </w:tc>
              <w:tc>
                <w:tcPr>
                  <w:tcW w:w="873" w:type="pct"/>
                  <w:noWrap w:val="0"/>
                  <w:vAlign w:val="center"/>
                </w:tcPr>
                <w:p w14:paraId="203C6970">
                  <w:pPr>
                    <w:tabs>
                      <w:tab w:val="left" w:pos="4620"/>
                    </w:tabs>
                    <w:jc w:val="center"/>
                    <w:rPr>
                      <w:rFonts w:hint="default" w:ascii="Times New Roman" w:hAnsi="Times New Roman" w:eastAsia="宋体" w:cs="Times New Roman"/>
                      <w:b w:val="0"/>
                      <w:bCs w:val="0"/>
                      <w:color w:val="000000"/>
                      <w:kern w:val="1"/>
                      <w:sz w:val="21"/>
                      <w:szCs w:val="21"/>
                      <w:highlight w:val="none"/>
                    </w:rPr>
                  </w:pPr>
                  <w:r>
                    <w:rPr>
                      <w:rFonts w:hint="default" w:ascii="Times New Roman" w:hAnsi="Times New Roman" w:eastAsia="宋体" w:cs="Times New Roman"/>
                      <w:b w:val="0"/>
                      <w:bCs w:val="0"/>
                      <w:color w:val="000000"/>
                      <w:kern w:val="1"/>
                      <w:sz w:val="21"/>
                      <w:szCs w:val="21"/>
                      <w:highlight w:val="none"/>
                    </w:rPr>
                    <w:t>24小时平均浓度限值</w:t>
                  </w:r>
                </w:p>
              </w:tc>
              <w:tc>
                <w:tcPr>
                  <w:tcW w:w="996" w:type="pct"/>
                  <w:noWrap w:val="0"/>
                  <w:vAlign w:val="center"/>
                </w:tcPr>
                <w:p w14:paraId="5FA57F18">
                  <w:pPr>
                    <w:tabs>
                      <w:tab w:val="left" w:pos="4620"/>
                    </w:tabs>
                    <w:jc w:val="center"/>
                    <w:rPr>
                      <w:rFonts w:hint="default" w:ascii="Times New Roman" w:hAnsi="Times New Roman" w:eastAsia="宋体" w:cs="Times New Roman"/>
                      <w:b w:val="0"/>
                      <w:bCs w:val="0"/>
                      <w:color w:val="000000"/>
                      <w:kern w:val="1"/>
                      <w:sz w:val="21"/>
                      <w:szCs w:val="21"/>
                      <w:highlight w:val="none"/>
                    </w:rPr>
                  </w:pPr>
                  <w:r>
                    <w:rPr>
                      <w:rFonts w:hint="default" w:ascii="Times New Roman" w:hAnsi="Times New Roman" w:eastAsia="宋体" w:cs="Times New Roman"/>
                      <w:b w:val="0"/>
                      <w:bCs w:val="0"/>
                      <w:color w:val="000000"/>
                      <w:kern w:val="1"/>
                      <w:sz w:val="21"/>
                      <w:szCs w:val="21"/>
                      <w:highlight w:val="none"/>
                    </w:rPr>
                    <w:t>1小时平均浓度限值</w:t>
                  </w:r>
                </w:p>
              </w:tc>
              <w:tc>
                <w:tcPr>
                  <w:tcW w:w="1350" w:type="pct"/>
                  <w:noWrap w:val="0"/>
                  <w:vAlign w:val="center"/>
                </w:tcPr>
                <w:p w14:paraId="1E1A3DAA">
                  <w:pPr>
                    <w:tabs>
                      <w:tab w:val="left" w:pos="4620"/>
                    </w:tabs>
                    <w:jc w:val="center"/>
                    <w:rPr>
                      <w:rFonts w:hint="default" w:ascii="Times New Roman" w:hAnsi="Times New Roman" w:eastAsia="宋体" w:cs="Times New Roman"/>
                      <w:b w:val="0"/>
                      <w:bCs w:val="0"/>
                      <w:color w:val="000000"/>
                      <w:kern w:val="1"/>
                      <w:sz w:val="21"/>
                      <w:szCs w:val="21"/>
                      <w:highlight w:val="none"/>
                    </w:rPr>
                  </w:pPr>
                  <w:r>
                    <w:rPr>
                      <w:rFonts w:hint="default" w:ascii="Times New Roman" w:hAnsi="Times New Roman" w:eastAsia="宋体" w:cs="Times New Roman"/>
                      <w:b w:val="0"/>
                      <w:bCs w:val="0"/>
                      <w:color w:val="000000"/>
                      <w:kern w:val="1"/>
                      <w:sz w:val="21"/>
                      <w:szCs w:val="21"/>
                      <w:highlight w:val="none"/>
                    </w:rPr>
                    <w:t>标准来源</w:t>
                  </w:r>
                </w:p>
              </w:tc>
            </w:tr>
            <w:tr w14:paraId="2412B6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32" w:type="pct"/>
                  <w:noWrap w:val="0"/>
                  <w:vAlign w:val="center"/>
                </w:tcPr>
                <w:p w14:paraId="73BA56BC">
                  <w:pPr>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SO</w:t>
                  </w:r>
                  <w:r>
                    <w:rPr>
                      <w:rFonts w:hint="default" w:ascii="Times New Roman" w:hAnsi="Times New Roman" w:eastAsia="宋体" w:cs="Times New Roman"/>
                      <w:color w:val="000000"/>
                      <w:kern w:val="1"/>
                      <w:sz w:val="21"/>
                      <w:szCs w:val="21"/>
                      <w:highlight w:val="none"/>
                      <w:vertAlign w:val="subscript"/>
                    </w:rPr>
                    <w:t>2</w:t>
                  </w:r>
                </w:p>
              </w:tc>
              <w:tc>
                <w:tcPr>
                  <w:tcW w:w="746" w:type="pct"/>
                  <w:noWrap w:val="0"/>
                  <w:vAlign w:val="center"/>
                </w:tcPr>
                <w:p w14:paraId="71DA3A1C">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60</w:t>
                  </w:r>
                </w:p>
              </w:tc>
              <w:tc>
                <w:tcPr>
                  <w:tcW w:w="873" w:type="pct"/>
                  <w:noWrap w:val="0"/>
                  <w:vAlign w:val="center"/>
                </w:tcPr>
                <w:p w14:paraId="5DDDEAFF">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150</w:t>
                  </w:r>
                </w:p>
              </w:tc>
              <w:tc>
                <w:tcPr>
                  <w:tcW w:w="996" w:type="pct"/>
                  <w:noWrap w:val="0"/>
                  <w:vAlign w:val="center"/>
                </w:tcPr>
                <w:p w14:paraId="49815CDE">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500</w:t>
                  </w:r>
                </w:p>
              </w:tc>
              <w:tc>
                <w:tcPr>
                  <w:tcW w:w="1350" w:type="pct"/>
                  <w:vMerge w:val="restart"/>
                  <w:noWrap w:val="0"/>
                  <w:vAlign w:val="center"/>
                </w:tcPr>
                <w:p w14:paraId="4A88E029">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GB3095-2012《环境空气质量标准》及其 修改单二级标准</w:t>
                  </w:r>
                </w:p>
              </w:tc>
            </w:tr>
            <w:tr w14:paraId="1DC154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32" w:type="pct"/>
                  <w:noWrap w:val="0"/>
                  <w:vAlign w:val="center"/>
                </w:tcPr>
                <w:p w14:paraId="21FFAC05">
                  <w:pPr>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NO</w:t>
                  </w:r>
                  <w:r>
                    <w:rPr>
                      <w:rFonts w:hint="default" w:ascii="Times New Roman" w:hAnsi="Times New Roman" w:eastAsia="宋体" w:cs="Times New Roman"/>
                      <w:color w:val="000000"/>
                      <w:kern w:val="1"/>
                      <w:position w:val="4"/>
                      <w:sz w:val="21"/>
                      <w:szCs w:val="21"/>
                      <w:highlight w:val="none"/>
                      <w:vertAlign w:val="subscript"/>
                    </w:rPr>
                    <w:t>2</w:t>
                  </w:r>
                </w:p>
              </w:tc>
              <w:tc>
                <w:tcPr>
                  <w:tcW w:w="746" w:type="pct"/>
                  <w:noWrap w:val="0"/>
                  <w:vAlign w:val="center"/>
                </w:tcPr>
                <w:p w14:paraId="350347D5">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40</w:t>
                  </w:r>
                </w:p>
              </w:tc>
              <w:tc>
                <w:tcPr>
                  <w:tcW w:w="873" w:type="pct"/>
                  <w:noWrap w:val="0"/>
                  <w:vAlign w:val="center"/>
                </w:tcPr>
                <w:p w14:paraId="3F4EA3B8">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80</w:t>
                  </w:r>
                </w:p>
              </w:tc>
              <w:tc>
                <w:tcPr>
                  <w:tcW w:w="996" w:type="pct"/>
                  <w:noWrap w:val="0"/>
                  <w:vAlign w:val="center"/>
                </w:tcPr>
                <w:p w14:paraId="724BDB83">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200</w:t>
                  </w:r>
                </w:p>
              </w:tc>
              <w:tc>
                <w:tcPr>
                  <w:tcW w:w="1350" w:type="pct"/>
                  <w:vMerge w:val="continue"/>
                  <w:noWrap w:val="0"/>
                  <w:vAlign w:val="center"/>
                </w:tcPr>
                <w:p w14:paraId="6B746FE6">
                  <w:pPr>
                    <w:widowControl w:val="0"/>
                    <w:jc w:val="center"/>
                    <w:rPr>
                      <w:rFonts w:hint="default" w:ascii="Times New Roman" w:hAnsi="Times New Roman" w:eastAsia="宋体" w:cs="Times New Roman"/>
                      <w:color w:val="000000"/>
                      <w:kern w:val="1"/>
                      <w:sz w:val="21"/>
                      <w:szCs w:val="21"/>
                      <w:highlight w:val="none"/>
                    </w:rPr>
                  </w:pPr>
                </w:p>
              </w:tc>
            </w:tr>
            <w:tr w14:paraId="0309E1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32" w:type="pct"/>
                  <w:noWrap w:val="0"/>
                  <w:vAlign w:val="center"/>
                </w:tcPr>
                <w:p w14:paraId="1566C759">
                  <w:pPr>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CO</w:t>
                  </w:r>
                </w:p>
              </w:tc>
              <w:tc>
                <w:tcPr>
                  <w:tcW w:w="746" w:type="pct"/>
                  <w:noWrap w:val="0"/>
                  <w:vAlign w:val="center"/>
                </w:tcPr>
                <w:p w14:paraId="3448E865">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w:t>
                  </w:r>
                </w:p>
              </w:tc>
              <w:tc>
                <w:tcPr>
                  <w:tcW w:w="873" w:type="pct"/>
                  <w:noWrap w:val="0"/>
                  <w:vAlign w:val="center"/>
                </w:tcPr>
                <w:p w14:paraId="3029D15D">
                  <w:pPr>
                    <w:tabs>
                      <w:tab w:val="left" w:pos="4620"/>
                    </w:tabs>
                    <w:jc w:val="center"/>
                    <w:rPr>
                      <w:rFonts w:hint="default" w:ascii="Times New Roman" w:hAnsi="Times New Roman" w:eastAsia="宋体" w:cs="Times New Roman"/>
                      <w:color w:val="000000"/>
                      <w:kern w:val="1"/>
                      <w:sz w:val="21"/>
                      <w:szCs w:val="21"/>
                      <w:highlight w:val="none"/>
                      <w:vertAlign w:val="superscript"/>
                    </w:rPr>
                  </w:pPr>
                  <w:r>
                    <w:rPr>
                      <w:rFonts w:hint="default" w:ascii="Times New Roman" w:hAnsi="Times New Roman" w:eastAsia="宋体" w:cs="Times New Roman"/>
                      <w:color w:val="000000"/>
                      <w:kern w:val="1"/>
                      <w:sz w:val="21"/>
                      <w:szCs w:val="21"/>
                      <w:highlight w:val="none"/>
                    </w:rPr>
                    <w:t>4×10</w:t>
                  </w:r>
                  <w:r>
                    <w:rPr>
                      <w:rFonts w:hint="default" w:ascii="Times New Roman" w:hAnsi="Times New Roman" w:eastAsia="宋体" w:cs="Times New Roman"/>
                      <w:color w:val="000000"/>
                      <w:kern w:val="1"/>
                      <w:sz w:val="21"/>
                      <w:szCs w:val="21"/>
                      <w:highlight w:val="none"/>
                      <w:vertAlign w:val="superscript"/>
                    </w:rPr>
                    <w:t>3</w:t>
                  </w:r>
                </w:p>
              </w:tc>
              <w:tc>
                <w:tcPr>
                  <w:tcW w:w="996" w:type="pct"/>
                  <w:noWrap w:val="0"/>
                  <w:vAlign w:val="center"/>
                </w:tcPr>
                <w:p w14:paraId="4419EF48">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10×10</w:t>
                  </w:r>
                  <w:r>
                    <w:rPr>
                      <w:rFonts w:hint="default" w:ascii="Times New Roman" w:hAnsi="Times New Roman" w:eastAsia="宋体" w:cs="Times New Roman"/>
                      <w:color w:val="000000"/>
                      <w:kern w:val="1"/>
                      <w:sz w:val="21"/>
                      <w:szCs w:val="21"/>
                      <w:highlight w:val="none"/>
                      <w:vertAlign w:val="superscript"/>
                    </w:rPr>
                    <w:t>3</w:t>
                  </w:r>
                </w:p>
              </w:tc>
              <w:tc>
                <w:tcPr>
                  <w:tcW w:w="1350" w:type="pct"/>
                  <w:vMerge w:val="continue"/>
                  <w:noWrap w:val="0"/>
                  <w:vAlign w:val="center"/>
                </w:tcPr>
                <w:p w14:paraId="22686725">
                  <w:pPr>
                    <w:widowControl w:val="0"/>
                    <w:jc w:val="center"/>
                    <w:rPr>
                      <w:rFonts w:hint="default" w:ascii="Times New Roman" w:hAnsi="Times New Roman" w:eastAsia="宋体" w:cs="Times New Roman"/>
                      <w:color w:val="000000"/>
                      <w:kern w:val="1"/>
                      <w:sz w:val="21"/>
                      <w:szCs w:val="21"/>
                      <w:highlight w:val="none"/>
                    </w:rPr>
                  </w:pPr>
                </w:p>
              </w:tc>
            </w:tr>
            <w:tr w14:paraId="0C0E22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32" w:type="pct"/>
                  <w:noWrap w:val="0"/>
                  <w:vAlign w:val="center"/>
                </w:tcPr>
                <w:p w14:paraId="251BA644">
                  <w:pPr>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O</w:t>
                  </w:r>
                  <w:r>
                    <w:rPr>
                      <w:rFonts w:hint="default" w:ascii="Times New Roman" w:hAnsi="Times New Roman" w:eastAsia="宋体" w:cs="Times New Roman"/>
                      <w:color w:val="000000"/>
                      <w:kern w:val="1"/>
                      <w:sz w:val="21"/>
                      <w:szCs w:val="21"/>
                      <w:highlight w:val="none"/>
                      <w:vertAlign w:val="subscript"/>
                    </w:rPr>
                    <w:t>3</w:t>
                  </w:r>
                </w:p>
              </w:tc>
              <w:tc>
                <w:tcPr>
                  <w:tcW w:w="746" w:type="pct"/>
                  <w:noWrap w:val="0"/>
                  <w:vAlign w:val="center"/>
                </w:tcPr>
                <w:p w14:paraId="65D11A82">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w:t>
                  </w:r>
                </w:p>
              </w:tc>
              <w:tc>
                <w:tcPr>
                  <w:tcW w:w="873" w:type="pct"/>
                  <w:noWrap w:val="0"/>
                  <w:vAlign w:val="center"/>
                </w:tcPr>
                <w:p w14:paraId="55FB4044">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160</w:t>
                  </w:r>
                  <w:r>
                    <w:rPr>
                      <w:rFonts w:hint="default" w:ascii="Times New Roman" w:hAnsi="Times New Roman" w:eastAsia="宋体" w:cs="Times New Roman"/>
                      <w:color w:val="000000"/>
                      <w:kern w:val="1"/>
                      <w:sz w:val="21"/>
                      <w:szCs w:val="21"/>
                      <w:highlight w:val="none"/>
                      <w:vertAlign w:val="superscript"/>
                    </w:rPr>
                    <w:t>a</w:t>
                  </w:r>
                </w:p>
              </w:tc>
              <w:tc>
                <w:tcPr>
                  <w:tcW w:w="996" w:type="pct"/>
                  <w:noWrap w:val="0"/>
                  <w:vAlign w:val="center"/>
                </w:tcPr>
                <w:p w14:paraId="68D98DA0">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200</w:t>
                  </w:r>
                </w:p>
              </w:tc>
              <w:tc>
                <w:tcPr>
                  <w:tcW w:w="1350" w:type="pct"/>
                  <w:vMerge w:val="continue"/>
                  <w:noWrap w:val="0"/>
                  <w:vAlign w:val="center"/>
                </w:tcPr>
                <w:p w14:paraId="30BFF039">
                  <w:pPr>
                    <w:widowControl w:val="0"/>
                    <w:jc w:val="center"/>
                    <w:rPr>
                      <w:rFonts w:hint="default" w:ascii="Times New Roman" w:hAnsi="Times New Roman" w:eastAsia="宋体" w:cs="Times New Roman"/>
                      <w:color w:val="000000"/>
                      <w:kern w:val="1"/>
                      <w:sz w:val="21"/>
                      <w:szCs w:val="21"/>
                      <w:highlight w:val="none"/>
                    </w:rPr>
                  </w:pPr>
                </w:p>
              </w:tc>
            </w:tr>
            <w:tr w14:paraId="27401A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32" w:type="pct"/>
                  <w:noWrap w:val="0"/>
                  <w:vAlign w:val="center"/>
                </w:tcPr>
                <w:p w14:paraId="1203A63A">
                  <w:pPr>
                    <w:jc w:val="center"/>
                    <w:rPr>
                      <w:rFonts w:hint="default" w:ascii="Times New Roman" w:hAnsi="Times New Roman" w:eastAsia="宋体" w:cs="Times New Roman"/>
                      <w:color w:val="000000"/>
                      <w:kern w:val="1"/>
                      <w:sz w:val="21"/>
                      <w:szCs w:val="21"/>
                      <w:highlight w:val="none"/>
                      <w:vertAlign w:val="subscript"/>
                    </w:rPr>
                  </w:pPr>
                  <w:r>
                    <w:rPr>
                      <w:rFonts w:hint="default" w:ascii="Times New Roman" w:hAnsi="Times New Roman" w:eastAsia="宋体" w:cs="Times New Roman"/>
                      <w:color w:val="000000"/>
                      <w:kern w:val="1"/>
                      <w:sz w:val="21"/>
                      <w:szCs w:val="21"/>
                      <w:highlight w:val="none"/>
                    </w:rPr>
                    <w:t>PM</w:t>
                  </w:r>
                  <w:r>
                    <w:rPr>
                      <w:rFonts w:hint="default" w:ascii="Times New Roman" w:hAnsi="Times New Roman" w:eastAsia="宋体" w:cs="Times New Roman"/>
                      <w:color w:val="000000"/>
                      <w:kern w:val="1"/>
                      <w:sz w:val="21"/>
                      <w:szCs w:val="21"/>
                      <w:highlight w:val="none"/>
                      <w:vertAlign w:val="subscript"/>
                    </w:rPr>
                    <w:t>10</w:t>
                  </w:r>
                </w:p>
              </w:tc>
              <w:tc>
                <w:tcPr>
                  <w:tcW w:w="746" w:type="pct"/>
                  <w:noWrap w:val="0"/>
                  <w:vAlign w:val="center"/>
                </w:tcPr>
                <w:p w14:paraId="6C8FFF42">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70</w:t>
                  </w:r>
                </w:p>
              </w:tc>
              <w:tc>
                <w:tcPr>
                  <w:tcW w:w="873" w:type="pct"/>
                  <w:noWrap w:val="0"/>
                  <w:vAlign w:val="center"/>
                </w:tcPr>
                <w:p w14:paraId="129AE1DD">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150</w:t>
                  </w:r>
                </w:p>
              </w:tc>
              <w:tc>
                <w:tcPr>
                  <w:tcW w:w="996" w:type="pct"/>
                  <w:noWrap w:val="0"/>
                  <w:vAlign w:val="center"/>
                </w:tcPr>
                <w:p w14:paraId="322E8E7B">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w:t>
                  </w:r>
                </w:p>
              </w:tc>
              <w:tc>
                <w:tcPr>
                  <w:tcW w:w="1350" w:type="pct"/>
                  <w:vMerge w:val="continue"/>
                  <w:noWrap w:val="0"/>
                  <w:vAlign w:val="center"/>
                </w:tcPr>
                <w:p w14:paraId="15752F9A">
                  <w:pPr>
                    <w:widowControl w:val="0"/>
                    <w:jc w:val="center"/>
                    <w:rPr>
                      <w:rFonts w:hint="default" w:ascii="Times New Roman" w:hAnsi="Times New Roman" w:eastAsia="宋体" w:cs="Times New Roman"/>
                      <w:color w:val="000000"/>
                      <w:kern w:val="1"/>
                      <w:sz w:val="21"/>
                      <w:szCs w:val="21"/>
                      <w:highlight w:val="none"/>
                    </w:rPr>
                  </w:pPr>
                </w:p>
              </w:tc>
            </w:tr>
            <w:tr w14:paraId="36E15E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32" w:type="pct"/>
                  <w:noWrap w:val="0"/>
                  <w:vAlign w:val="center"/>
                </w:tcPr>
                <w:p w14:paraId="5DA796F8">
                  <w:pPr>
                    <w:jc w:val="center"/>
                    <w:rPr>
                      <w:rFonts w:hint="default" w:ascii="Times New Roman" w:hAnsi="Times New Roman" w:eastAsia="宋体" w:cs="Times New Roman"/>
                      <w:color w:val="000000"/>
                      <w:kern w:val="1"/>
                      <w:position w:val="4"/>
                      <w:sz w:val="21"/>
                      <w:szCs w:val="21"/>
                      <w:highlight w:val="none"/>
                      <w:vertAlign w:val="subscript"/>
                    </w:rPr>
                  </w:pPr>
                  <w:r>
                    <w:rPr>
                      <w:rFonts w:hint="default" w:ascii="Times New Roman" w:hAnsi="Times New Roman" w:eastAsia="宋体" w:cs="Times New Roman"/>
                      <w:color w:val="000000"/>
                      <w:kern w:val="1"/>
                      <w:sz w:val="21"/>
                      <w:szCs w:val="21"/>
                      <w:highlight w:val="none"/>
                    </w:rPr>
                    <w:t>PM</w:t>
                  </w:r>
                  <w:r>
                    <w:rPr>
                      <w:rFonts w:hint="default" w:ascii="Times New Roman" w:hAnsi="Times New Roman" w:eastAsia="宋体" w:cs="Times New Roman"/>
                      <w:color w:val="000000"/>
                      <w:kern w:val="1"/>
                      <w:sz w:val="21"/>
                      <w:szCs w:val="21"/>
                      <w:highlight w:val="none"/>
                      <w:vertAlign w:val="subscript"/>
                    </w:rPr>
                    <w:t>2.5</w:t>
                  </w:r>
                </w:p>
              </w:tc>
              <w:tc>
                <w:tcPr>
                  <w:tcW w:w="746" w:type="pct"/>
                  <w:noWrap w:val="0"/>
                  <w:vAlign w:val="center"/>
                </w:tcPr>
                <w:p w14:paraId="19ABB91A">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35</w:t>
                  </w:r>
                </w:p>
              </w:tc>
              <w:tc>
                <w:tcPr>
                  <w:tcW w:w="873" w:type="pct"/>
                  <w:noWrap w:val="0"/>
                  <w:vAlign w:val="center"/>
                </w:tcPr>
                <w:p w14:paraId="56FB6386">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75</w:t>
                  </w:r>
                </w:p>
              </w:tc>
              <w:tc>
                <w:tcPr>
                  <w:tcW w:w="996" w:type="pct"/>
                  <w:noWrap w:val="0"/>
                  <w:vAlign w:val="center"/>
                </w:tcPr>
                <w:p w14:paraId="3440ECA4">
                  <w:pPr>
                    <w:tabs>
                      <w:tab w:val="left" w:pos="4620"/>
                    </w:tabs>
                    <w:jc w:val="center"/>
                    <w:rPr>
                      <w:rFonts w:hint="default" w:ascii="Times New Roman" w:hAnsi="Times New Roman" w:eastAsia="宋体" w:cs="Times New Roman"/>
                      <w:color w:val="000000"/>
                      <w:kern w:val="1"/>
                      <w:sz w:val="21"/>
                      <w:szCs w:val="21"/>
                      <w:highlight w:val="none"/>
                    </w:rPr>
                  </w:pPr>
                  <w:r>
                    <w:rPr>
                      <w:rFonts w:hint="default" w:ascii="Times New Roman" w:hAnsi="Times New Roman" w:eastAsia="宋体" w:cs="Times New Roman"/>
                      <w:color w:val="000000"/>
                      <w:kern w:val="1"/>
                      <w:sz w:val="21"/>
                      <w:szCs w:val="21"/>
                      <w:highlight w:val="none"/>
                    </w:rPr>
                    <w:t>--</w:t>
                  </w:r>
                </w:p>
              </w:tc>
              <w:tc>
                <w:tcPr>
                  <w:tcW w:w="1350" w:type="pct"/>
                  <w:vMerge w:val="continue"/>
                  <w:noWrap w:val="0"/>
                  <w:vAlign w:val="center"/>
                </w:tcPr>
                <w:p w14:paraId="50973647">
                  <w:pPr>
                    <w:widowControl w:val="0"/>
                    <w:jc w:val="center"/>
                    <w:rPr>
                      <w:rFonts w:hint="default" w:ascii="Times New Roman" w:hAnsi="Times New Roman" w:eastAsia="宋体" w:cs="Times New Roman"/>
                      <w:color w:val="000000"/>
                      <w:kern w:val="1"/>
                      <w:sz w:val="21"/>
                      <w:szCs w:val="21"/>
                      <w:highlight w:val="none"/>
                    </w:rPr>
                  </w:pPr>
                </w:p>
              </w:tc>
            </w:tr>
            <w:tr w14:paraId="67B6D08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5"/>
                  <w:noWrap w:val="0"/>
                  <w:vAlign w:val="center"/>
                </w:tcPr>
                <w:p w14:paraId="2DBC90DF">
                  <w:pPr>
                    <w:widowControl w:val="0"/>
                    <w:jc w:val="both"/>
                    <w:rPr>
                      <w:rFonts w:hint="default" w:ascii="Times New Roman" w:hAnsi="Times New Roman" w:eastAsia="宋体" w:cs="Times New Roman"/>
                      <w:color w:val="000000"/>
                      <w:kern w:val="1"/>
                      <w:sz w:val="21"/>
                      <w:szCs w:val="21"/>
                      <w:highlight w:val="none"/>
                      <w:lang w:val="en-US" w:eastAsia="zh-CN"/>
                    </w:rPr>
                  </w:pPr>
                  <w:r>
                    <w:rPr>
                      <w:rFonts w:hint="default" w:ascii="Times New Roman" w:hAnsi="Times New Roman" w:eastAsia="宋体" w:cs="Times New Roman"/>
                      <w:color w:val="000000"/>
                      <w:kern w:val="1"/>
                      <w:sz w:val="21"/>
                      <w:szCs w:val="21"/>
                      <w:highlight w:val="none"/>
                    </w:rPr>
                    <w:t>注：a为日最大8小时均值</w:t>
                  </w:r>
                </w:p>
              </w:tc>
            </w:tr>
          </w:tbl>
          <w:p w14:paraId="7F58FFC3">
            <w:pPr>
              <w:spacing w:before="157" w:beforeLines="50" w:line="360" w:lineRule="auto"/>
              <w:ind w:firstLine="480" w:firstLineChars="200"/>
              <w:jc w:val="both"/>
              <w:rPr>
                <w:rFonts w:hint="eastAsia" w:ascii="Times New Roman" w:hAnsi="Times New Roman" w:eastAsia="宋体" w:cs="Times New Roman"/>
                <w:b w:val="0"/>
                <w:bCs/>
                <w:color w:val="000000"/>
                <w:sz w:val="24"/>
                <w:szCs w:val="24"/>
                <w:highlight w:val="none"/>
                <w:lang w:eastAsia="zh-CN"/>
              </w:rPr>
            </w:pPr>
            <w:r>
              <w:rPr>
                <w:rFonts w:hint="eastAsia" w:ascii="Times New Roman" w:hAnsi="Times New Roman" w:eastAsia="宋体" w:cs="Times New Roman"/>
                <w:b w:val="0"/>
                <w:bCs/>
                <w:color w:val="000000"/>
                <w:sz w:val="24"/>
                <w:szCs w:val="24"/>
                <w:highlight w:val="none"/>
                <w:lang w:eastAsia="zh-CN"/>
              </w:rPr>
              <w:t>②其他污染物</w:t>
            </w:r>
          </w:p>
          <w:p w14:paraId="2C1C8618">
            <w:pPr>
              <w:pStyle w:val="2"/>
              <w:spacing w:after="0"/>
              <w:ind w:left="0" w:leftChars="0"/>
              <w:rPr>
                <w:rFonts w:hint="eastAsia" w:ascii="Times New Roman" w:hAnsi="Times New Roman" w:eastAsia="宋体" w:cs="Times New Roman"/>
                <w:b w:val="0"/>
                <w:bCs/>
                <w:color w:val="000000"/>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项目其他污染物</w:t>
            </w:r>
            <w:r>
              <w:rPr>
                <w:rFonts w:hint="default" w:ascii="Times New Roman" w:hAnsi="Times New Roman" w:eastAsia="宋体" w:cs="Times New Roman"/>
                <w:color w:val="auto"/>
                <w:sz w:val="24"/>
                <w:szCs w:val="24"/>
                <w:highlight w:val="none"/>
                <w:lang w:val="en-US" w:eastAsia="zh-CN"/>
              </w:rPr>
              <w:t>非甲烷总烃</w:t>
            </w:r>
            <w:r>
              <w:rPr>
                <w:rFonts w:hint="eastAsia" w:ascii="Times New Roman" w:hAnsi="Times New Roman" w:eastAsia="宋体" w:cs="Times New Roman"/>
                <w:color w:val="auto"/>
                <w:sz w:val="24"/>
                <w:szCs w:val="24"/>
                <w:highlight w:val="none"/>
                <w:lang w:val="en-US" w:eastAsia="zh-CN"/>
              </w:rPr>
              <w:t>环境质量现状</w:t>
            </w:r>
            <w:r>
              <w:rPr>
                <w:rFonts w:hint="default" w:ascii="Times New Roman" w:hAnsi="Times New Roman" w:cs="Times New Roman"/>
                <w:color w:val="000000"/>
                <w:kern w:val="1"/>
                <w:sz w:val="24"/>
                <w:highlight w:val="none"/>
              </w:rPr>
              <w:t>参照</w:t>
            </w:r>
            <w:r>
              <w:rPr>
                <w:rFonts w:hint="eastAsia" w:ascii="Times New Roman" w:hAnsi="Times New Roman" w:cs="Times New Roman"/>
                <w:color w:val="000000"/>
                <w:kern w:val="1"/>
                <w:sz w:val="24"/>
                <w:highlight w:val="none"/>
                <w:lang w:eastAsia="zh-CN"/>
              </w:rPr>
              <w:t>执行</w:t>
            </w:r>
            <w:r>
              <w:rPr>
                <w:rFonts w:hint="default" w:ascii="Times New Roman" w:hAnsi="Times New Roman" w:cs="Times New Roman"/>
                <w:color w:val="000000"/>
                <w:kern w:val="1"/>
                <w:sz w:val="24"/>
                <w:highlight w:val="none"/>
              </w:rPr>
              <w:t>国家环保部科技标准司《大气污染物综合排放标准详解》P244页相关限制执行，即2.0mg/m</w:t>
            </w:r>
            <w:r>
              <w:rPr>
                <w:rFonts w:hint="default" w:ascii="Times New Roman" w:hAnsi="Times New Roman" w:cs="Times New Roman"/>
                <w:color w:val="000000"/>
                <w:kern w:val="1"/>
                <w:sz w:val="24"/>
                <w:highlight w:val="none"/>
                <w:vertAlign w:val="superscript"/>
              </w:rPr>
              <w:t>3</w:t>
            </w:r>
            <w:r>
              <w:rPr>
                <w:rFonts w:hint="eastAsia" w:ascii="Times New Roman" w:hAnsi="Times New Roman" w:cs="Times New Roman"/>
                <w:color w:val="000000"/>
                <w:sz w:val="24"/>
                <w:szCs w:val="24"/>
                <w:highlight w:val="none"/>
                <w:lang w:eastAsia="zh-CN" w:bidi="ar"/>
              </w:rPr>
              <w:t>。</w:t>
            </w:r>
          </w:p>
          <w:p w14:paraId="29D1E916">
            <w:pPr>
              <w:pStyle w:val="68"/>
              <w:keepNext w:val="0"/>
              <w:keepLines w:val="0"/>
              <w:pageBreakBefore w:val="0"/>
              <w:widowControl w:val="0"/>
              <w:kinsoku/>
              <w:wordWrap/>
              <w:overflowPunct/>
              <w:topLinePunct w:val="0"/>
              <w:autoSpaceDE/>
              <w:autoSpaceDN/>
              <w:bidi w:val="0"/>
              <w:adjustRightInd w:val="0"/>
              <w:snapToGrid w:val="0"/>
              <w:spacing w:before="0" w:beforeLines="0" w:line="240" w:lineRule="auto"/>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 xml:space="preserve">表3-2 </w:t>
            </w:r>
            <w:r>
              <w:rPr>
                <w:rFonts w:hint="eastAsia" w:ascii="Times New Roman" w:hAnsi="Times New Roman" w:eastAsia="宋体" w:cs="Times New Roman"/>
                <w:b/>
                <w:bCs/>
                <w:sz w:val="24"/>
                <w:szCs w:val="24"/>
                <w:highlight w:val="none"/>
                <w:lang w:val="en-US" w:eastAsia="zh-CN"/>
              </w:rPr>
              <w:t>其他污染物</w:t>
            </w:r>
            <w:r>
              <w:rPr>
                <w:rFonts w:hint="default" w:ascii="Times New Roman" w:hAnsi="Times New Roman" w:eastAsia="宋体" w:cs="Times New Roman"/>
                <w:b/>
                <w:bCs/>
                <w:sz w:val="24"/>
                <w:szCs w:val="24"/>
                <w:highlight w:val="none"/>
                <w:lang w:val="en-US" w:eastAsia="zh-CN"/>
              </w:rPr>
              <w:t>环境质量标准 单位：μg/m</w:t>
            </w:r>
            <w:r>
              <w:rPr>
                <w:rFonts w:hint="default" w:ascii="Times New Roman" w:hAnsi="Times New Roman" w:eastAsia="宋体" w:cs="Times New Roman"/>
                <w:b/>
                <w:bCs/>
                <w:sz w:val="24"/>
                <w:szCs w:val="24"/>
                <w:highlight w:val="none"/>
                <w:vertAlign w:val="superscript"/>
                <w:lang w:val="en-US" w:eastAsia="zh-CN"/>
              </w:rPr>
              <w:t>3</w:t>
            </w:r>
          </w:p>
          <w:tbl>
            <w:tblPr>
              <w:tblStyle w:val="25"/>
              <w:tblW w:w="7935"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799"/>
              <w:gridCol w:w="1418"/>
              <w:gridCol w:w="1432"/>
              <w:gridCol w:w="3286"/>
            </w:tblGrid>
            <w:tr w14:paraId="3C480C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133" w:type="pct"/>
                  <w:noWrap w:val="0"/>
                  <w:vAlign w:val="center"/>
                </w:tcPr>
                <w:p w14:paraId="1ED9B373">
                  <w:pPr>
                    <w:tabs>
                      <w:tab w:val="left" w:pos="4620"/>
                    </w:tabs>
                    <w:jc w:val="center"/>
                    <w:rPr>
                      <w:rFonts w:hint="default" w:ascii="Times New Roman" w:hAnsi="Times New Roman" w:eastAsia="宋体" w:cs="Times New Roman"/>
                      <w:b w:val="0"/>
                      <w:bCs w:val="0"/>
                      <w:color w:val="000000"/>
                      <w:kern w:val="1"/>
                      <w:sz w:val="21"/>
                      <w:szCs w:val="21"/>
                      <w:highlight w:val="none"/>
                    </w:rPr>
                  </w:pPr>
                  <w:r>
                    <w:rPr>
                      <w:rFonts w:hint="default" w:ascii="Times New Roman" w:hAnsi="Times New Roman" w:eastAsia="宋体" w:cs="Times New Roman"/>
                      <w:b w:val="0"/>
                      <w:bCs w:val="0"/>
                      <w:color w:val="000000"/>
                      <w:kern w:val="1"/>
                      <w:sz w:val="21"/>
                      <w:szCs w:val="21"/>
                      <w:highlight w:val="none"/>
                    </w:rPr>
                    <w:t>评价因子</w:t>
                  </w:r>
                </w:p>
              </w:tc>
              <w:tc>
                <w:tcPr>
                  <w:tcW w:w="893" w:type="pct"/>
                  <w:noWrap w:val="0"/>
                  <w:vAlign w:val="center"/>
                </w:tcPr>
                <w:p w14:paraId="50839C8D">
                  <w:pPr>
                    <w:tabs>
                      <w:tab w:val="left" w:pos="4620"/>
                    </w:tabs>
                    <w:jc w:val="center"/>
                    <w:rPr>
                      <w:rFonts w:hint="default" w:ascii="Times New Roman" w:hAnsi="Times New Roman" w:eastAsia="宋体" w:cs="Times New Roman"/>
                      <w:b w:val="0"/>
                      <w:bCs w:val="0"/>
                      <w:color w:val="000000"/>
                      <w:kern w:val="1"/>
                      <w:sz w:val="21"/>
                      <w:szCs w:val="21"/>
                      <w:highlight w:val="none"/>
                    </w:rPr>
                  </w:pPr>
                  <w:r>
                    <w:rPr>
                      <w:rFonts w:hint="default" w:ascii="Times New Roman" w:hAnsi="Times New Roman" w:eastAsia="宋体" w:cs="Times New Roman"/>
                      <w:b w:val="0"/>
                      <w:bCs w:val="0"/>
                      <w:color w:val="000000"/>
                      <w:kern w:val="1"/>
                      <w:sz w:val="21"/>
                      <w:szCs w:val="21"/>
                      <w:highlight w:val="none"/>
                    </w:rPr>
                    <w:t>1h均值</w:t>
                  </w:r>
                </w:p>
              </w:tc>
              <w:tc>
                <w:tcPr>
                  <w:tcW w:w="902" w:type="pct"/>
                  <w:noWrap w:val="0"/>
                  <w:vAlign w:val="center"/>
                </w:tcPr>
                <w:p w14:paraId="061715E1">
                  <w:pPr>
                    <w:tabs>
                      <w:tab w:val="left" w:pos="4620"/>
                    </w:tabs>
                    <w:jc w:val="center"/>
                    <w:rPr>
                      <w:rFonts w:hint="default" w:ascii="Times New Roman" w:hAnsi="Times New Roman" w:eastAsia="宋体" w:cs="Times New Roman"/>
                      <w:b w:val="0"/>
                      <w:bCs w:val="0"/>
                      <w:color w:val="000000"/>
                      <w:kern w:val="1"/>
                      <w:sz w:val="21"/>
                      <w:szCs w:val="21"/>
                      <w:highlight w:val="none"/>
                    </w:rPr>
                  </w:pPr>
                  <w:r>
                    <w:rPr>
                      <w:rFonts w:hint="eastAsia" w:ascii="Times New Roman" w:hAnsi="Times New Roman" w:eastAsia="宋体" w:cs="Times New Roman"/>
                      <w:b w:val="0"/>
                      <w:bCs w:val="0"/>
                      <w:color w:val="000000"/>
                      <w:kern w:val="1"/>
                      <w:sz w:val="21"/>
                      <w:szCs w:val="21"/>
                      <w:highlight w:val="none"/>
                      <w:lang w:val="en-US" w:eastAsia="zh-CN"/>
                    </w:rPr>
                    <w:t>24</w:t>
                  </w:r>
                  <w:r>
                    <w:rPr>
                      <w:rFonts w:hint="default" w:ascii="Times New Roman" w:hAnsi="Times New Roman" w:eastAsia="宋体" w:cs="Times New Roman"/>
                      <w:b w:val="0"/>
                      <w:bCs w:val="0"/>
                      <w:color w:val="000000"/>
                      <w:kern w:val="1"/>
                      <w:sz w:val="21"/>
                      <w:szCs w:val="21"/>
                      <w:highlight w:val="none"/>
                    </w:rPr>
                    <w:t>h平均</w:t>
                  </w:r>
                </w:p>
              </w:tc>
              <w:tc>
                <w:tcPr>
                  <w:tcW w:w="2070" w:type="pct"/>
                  <w:noWrap w:val="0"/>
                  <w:vAlign w:val="center"/>
                </w:tcPr>
                <w:p w14:paraId="3A2C8AFB">
                  <w:pPr>
                    <w:tabs>
                      <w:tab w:val="left" w:pos="4620"/>
                    </w:tabs>
                    <w:jc w:val="center"/>
                    <w:rPr>
                      <w:rFonts w:hint="default" w:ascii="Times New Roman" w:hAnsi="Times New Roman" w:eastAsia="宋体" w:cs="Times New Roman"/>
                      <w:b w:val="0"/>
                      <w:bCs w:val="0"/>
                      <w:color w:val="000000"/>
                      <w:kern w:val="1"/>
                      <w:sz w:val="21"/>
                      <w:szCs w:val="21"/>
                      <w:highlight w:val="none"/>
                    </w:rPr>
                  </w:pPr>
                  <w:r>
                    <w:rPr>
                      <w:rFonts w:hint="default" w:ascii="Times New Roman" w:hAnsi="Times New Roman" w:eastAsia="宋体" w:cs="Times New Roman"/>
                      <w:b w:val="0"/>
                      <w:bCs w:val="0"/>
                      <w:color w:val="000000"/>
                      <w:kern w:val="1"/>
                      <w:sz w:val="21"/>
                      <w:szCs w:val="21"/>
                      <w:highlight w:val="none"/>
                    </w:rPr>
                    <w:t>标准来源</w:t>
                  </w:r>
                </w:p>
              </w:tc>
            </w:tr>
            <w:tr w14:paraId="6A3FF8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133" w:type="pct"/>
                  <w:noWrap w:val="0"/>
                  <w:vAlign w:val="center"/>
                </w:tcPr>
                <w:p w14:paraId="7BEA08C1">
                  <w:pPr>
                    <w:jc w:val="center"/>
                    <w:rPr>
                      <w:rFonts w:hint="default" w:ascii="Times New Roman" w:hAnsi="Times New Roman" w:eastAsia="宋体" w:cs="Times New Roman"/>
                      <w:color w:val="000000"/>
                      <w:kern w:val="1"/>
                      <w:sz w:val="21"/>
                      <w:szCs w:val="21"/>
                      <w:highlight w:val="none"/>
                      <w:lang w:val="en-US" w:eastAsia="zh-CN" w:bidi="ar-SA"/>
                    </w:rPr>
                  </w:pPr>
                  <w:r>
                    <w:rPr>
                      <w:rFonts w:hint="default" w:ascii="Times New Roman" w:hAnsi="Times New Roman" w:eastAsia="宋体" w:cs="Times New Roman"/>
                      <w:color w:val="000000"/>
                      <w:kern w:val="1"/>
                      <w:sz w:val="21"/>
                      <w:szCs w:val="21"/>
                      <w:highlight w:val="none"/>
                    </w:rPr>
                    <w:t>非甲烷总烃</w:t>
                  </w:r>
                </w:p>
              </w:tc>
              <w:tc>
                <w:tcPr>
                  <w:tcW w:w="893" w:type="pct"/>
                  <w:noWrap w:val="0"/>
                  <w:vAlign w:val="center"/>
                </w:tcPr>
                <w:p w14:paraId="727D2B40">
                  <w:pPr>
                    <w:tabs>
                      <w:tab w:val="left" w:pos="4620"/>
                    </w:tabs>
                    <w:jc w:val="center"/>
                    <w:rPr>
                      <w:rFonts w:hint="default" w:ascii="Times New Roman" w:hAnsi="Times New Roman" w:eastAsia="宋体" w:cs="Times New Roman"/>
                      <w:color w:val="000000"/>
                      <w:kern w:val="1"/>
                      <w:sz w:val="21"/>
                      <w:szCs w:val="21"/>
                      <w:highlight w:val="none"/>
                      <w:vertAlign w:val="superscript"/>
                      <w:lang w:val="en-US" w:eastAsia="zh-CN" w:bidi="ar-SA"/>
                    </w:rPr>
                  </w:pPr>
                  <w:r>
                    <w:rPr>
                      <w:rFonts w:hint="eastAsia" w:ascii="Times New Roman" w:hAnsi="Times New Roman" w:eastAsia="宋体" w:cs="Times New Roman"/>
                      <w:color w:val="000000"/>
                      <w:kern w:val="1"/>
                      <w:sz w:val="21"/>
                      <w:szCs w:val="21"/>
                      <w:highlight w:val="none"/>
                      <w:lang w:val="en-US" w:eastAsia="zh-CN"/>
                    </w:rPr>
                    <w:t>2000</w:t>
                  </w:r>
                </w:p>
              </w:tc>
              <w:tc>
                <w:tcPr>
                  <w:tcW w:w="902" w:type="pct"/>
                  <w:noWrap w:val="0"/>
                  <w:vAlign w:val="center"/>
                </w:tcPr>
                <w:p w14:paraId="5BA92447">
                  <w:pPr>
                    <w:tabs>
                      <w:tab w:val="left" w:pos="4620"/>
                    </w:tabs>
                    <w:jc w:val="center"/>
                    <w:rPr>
                      <w:rFonts w:hint="default" w:ascii="Times New Roman" w:hAnsi="Times New Roman" w:eastAsia="宋体" w:cs="Times New Roman"/>
                      <w:color w:val="000000"/>
                      <w:kern w:val="1"/>
                      <w:sz w:val="21"/>
                      <w:szCs w:val="21"/>
                      <w:highlight w:val="none"/>
                      <w:lang w:val="en-US" w:eastAsia="zh-CN" w:bidi="ar-SA"/>
                    </w:rPr>
                  </w:pPr>
                  <w:r>
                    <w:rPr>
                      <w:rFonts w:hint="default" w:ascii="Times New Roman" w:hAnsi="Times New Roman" w:eastAsia="宋体" w:cs="Times New Roman"/>
                      <w:color w:val="000000"/>
                      <w:kern w:val="1"/>
                      <w:sz w:val="21"/>
                      <w:szCs w:val="21"/>
                      <w:highlight w:val="none"/>
                      <w:lang w:val="en-US" w:eastAsia="zh-CN"/>
                    </w:rPr>
                    <w:t>/</w:t>
                  </w:r>
                </w:p>
              </w:tc>
              <w:tc>
                <w:tcPr>
                  <w:tcW w:w="2070" w:type="pct"/>
                  <w:noWrap w:val="0"/>
                  <w:vAlign w:val="center"/>
                </w:tcPr>
                <w:p w14:paraId="4969B511">
                  <w:pPr>
                    <w:widowControl w:val="0"/>
                    <w:jc w:val="center"/>
                    <w:rPr>
                      <w:rFonts w:hint="default" w:ascii="Times New Roman" w:hAnsi="Times New Roman" w:eastAsia="宋体" w:cs="Times New Roman"/>
                      <w:color w:val="000000"/>
                      <w:kern w:val="1"/>
                      <w:sz w:val="21"/>
                      <w:szCs w:val="21"/>
                      <w:highlight w:val="none"/>
                    </w:rPr>
                  </w:pPr>
                  <w:r>
                    <w:rPr>
                      <w:rFonts w:hint="default" w:ascii="Times New Roman" w:hAnsi="Times New Roman" w:cs="Times New Roman"/>
                      <w:color w:val="000000"/>
                      <w:kern w:val="1"/>
                      <w:sz w:val="21"/>
                      <w:szCs w:val="21"/>
                      <w:highlight w:val="none"/>
                    </w:rPr>
                    <w:t>《大气污染物综合排放标准详解》</w:t>
                  </w:r>
                </w:p>
              </w:tc>
            </w:tr>
          </w:tbl>
          <w:p w14:paraId="04F4C015">
            <w:pPr>
              <w:pStyle w:val="2"/>
              <w:spacing w:before="157" w:beforeLines="50" w:after="0"/>
              <w:ind w:left="0" w:leftChars="0"/>
              <w:rPr>
                <w:rFonts w:hint="eastAsia" w:ascii="Times New Roman" w:hAnsi="Times New Roman" w:eastAsia="宋体" w:cs="Times New Roman"/>
                <w:b w:val="0"/>
                <w:bCs/>
                <w:color w:val="000000"/>
                <w:sz w:val="24"/>
                <w:szCs w:val="24"/>
                <w:highlight w:val="none"/>
                <w:lang w:eastAsia="zh-CN"/>
              </w:rPr>
            </w:pPr>
            <w:r>
              <w:rPr>
                <w:rFonts w:hint="eastAsia" w:ascii="Times New Roman" w:hAnsi="Times New Roman" w:eastAsia="宋体" w:cs="Times New Roman"/>
                <w:b w:val="0"/>
                <w:bCs/>
                <w:color w:val="000000"/>
                <w:sz w:val="24"/>
                <w:szCs w:val="24"/>
                <w:highlight w:val="none"/>
                <w:lang w:eastAsia="zh-CN"/>
              </w:rPr>
              <w:t>（</w:t>
            </w:r>
            <w:r>
              <w:rPr>
                <w:rFonts w:hint="eastAsia" w:ascii="Times New Roman" w:hAnsi="Times New Roman" w:eastAsia="宋体" w:cs="Times New Roman"/>
                <w:b w:val="0"/>
                <w:bCs/>
                <w:color w:val="000000"/>
                <w:sz w:val="24"/>
                <w:szCs w:val="24"/>
                <w:highlight w:val="none"/>
                <w:lang w:val="en-US" w:eastAsia="zh-CN"/>
              </w:rPr>
              <w:t>2</w:t>
            </w:r>
            <w:r>
              <w:rPr>
                <w:rFonts w:hint="eastAsia" w:ascii="Times New Roman" w:hAnsi="Times New Roman" w:eastAsia="宋体"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lang w:val="en-US" w:eastAsia="zh-CN"/>
              </w:rPr>
              <w:t>大气环境质量现状</w:t>
            </w:r>
          </w:p>
          <w:p w14:paraId="331243DD">
            <w:pPr>
              <w:spacing w:line="360" w:lineRule="auto"/>
              <w:ind w:firstLine="480" w:firstLineChars="200"/>
              <w:jc w:val="both"/>
              <w:rPr>
                <w:rFonts w:hint="default" w:ascii="Times New Roman" w:hAnsi="Times New Roman" w:eastAsia="宋体" w:cs="Times New Roman"/>
                <w:b w:val="0"/>
                <w:bCs/>
                <w:color w:val="000000"/>
                <w:sz w:val="24"/>
                <w:szCs w:val="24"/>
                <w:highlight w:val="none"/>
              </w:rPr>
            </w:pPr>
            <w:bookmarkStart w:id="21" w:name="_Hlk29369023"/>
            <w:r>
              <w:rPr>
                <w:rFonts w:hint="eastAsia" w:ascii="Times New Roman" w:hAnsi="Times New Roman" w:eastAsia="宋体" w:cs="Times New Roman"/>
                <w:color w:val="000000"/>
                <w:sz w:val="24"/>
                <w:highlight w:val="none"/>
                <w:lang w:eastAsia="zh-CN" w:bidi="ar"/>
              </w:rPr>
              <w:t>根据</w:t>
            </w:r>
            <w:r>
              <w:rPr>
                <w:rFonts w:hint="default" w:ascii="Times New Roman" w:hAnsi="Times New Roman" w:eastAsia="宋体" w:cs="Times New Roman"/>
                <w:color w:val="000000"/>
                <w:sz w:val="24"/>
                <w:highlight w:val="none"/>
                <w:lang w:bidi="ar"/>
              </w:rPr>
              <w:t>《20</w:t>
            </w:r>
            <w:r>
              <w:rPr>
                <w:rFonts w:hint="eastAsia" w:ascii="Times New Roman" w:hAnsi="Times New Roman" w:eastAsia="宋体" w:cs="Times New Roman"/>
                <w:color w:val="000000"/>
                <w:sz w:val="24"/>
                <w:highlight w:val="none"/>
                <w:lang w:val="en-US" w:eastAsia="zh-CN" w:bidi="ar"/>
              </w:rPr>
              <w:t>23</w:t>
            </w:r>
            <w:r>
              <w:rPr>
                <w:rFonts w:hint="default" w:ascii="Times New Roman" w:hAnsi="Times New Roman" w:eastAsia="宋体" w:cs="Times New Roman"/>
                <w:color w:val="000000"/>
                <w:sz w:val="24"/>
                <w:highlight w:val="none"/>
                <w:lang w:bidi="ar"/>
              </w:rPr>
              <w:t>年泉州市城市空气质量通报</w:t>
            </w:r>
            <w:r>
              <w:rPr>
                <w:rFonts w:hint="default" w:ascii="Times New Roman" w:hAnsi="Times New Roman" w:eastAsia="宋体" w:cs="Times New Roman"/>
                <w:color w:val="auto"/>
                <w:sz w:val="24"/>
                <w:highlight w:val="none"/>
                <w:lang w:bidi="ar"/>
              </w:rPr>
              <w:t>》</w:t>
            </w:r>
            <w:r>
              <w:rPr>
                <w:rFonts w:hint="eastAsia" w:ascii="Times New Roman" w:hAnsi="Times New Roman" w:eastAsia="宋体" w:cs="Times New Roman"/>
                <w:color w:val="auto"/>
                <w:sz w:val="24"/>
                <w:highlight w:val="none"/>
                <w:lang w:eastAsia="zh-CN" w:bidi="ar"/>
              </w:rPr>
              <w:t>（</w:t>
            </w:r>
            <w:r>
              <w:rPr>
                <w:rFonts w:hint="eastAsia" w:ascii="Times New Roman" w:hAnsi="Times New Roman" w:eastAsia="宋体" w:cs="Times New Roman"/>
                <w:color w:val="auto"/>
                <w:sz w:val="24"/>
                <w:highlight w:val="none"/>
                <w:lang w:val="en-US" w:eastAsia="zh-CN" w:bidi="ar"/>
              </w:rPr>
              <w:t>2024.1.23</w:t>
            </w:r>
            <w:r>
              <w:rPr>
                <w:rFonts w:hint="eastAsia"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bidi="ar"/>
              </w:rPr>
              <w:t>，</w:t>
            </w:r>
            <w:r>
              <w:rPr>
                <w:rFonts w:hint="eastAsia" w:ascii="Times New Roman" w:hAnsi="Times New Roman" w:eastAsia="宋体" w:cs="Times New Roman"/>
                <w:color w:val="auto"/>
                <w:sz w:val="24"/>
                <w:highlight w:val="none"/>
                <w:lang w:eastAsia="zh-CN" w:bidi="ar"/>
              </w:rPr>
              <w:t>泉州市</w:t>
            </w:r>
            <w:r>
              <w:rPr>
                <w:rFonts w:hint="eastAsia" w:ascii="Times New Roman" w:hAnsi="Times New Roman" w:eastAsia="宋体" w:cs="Times New Roman"/>
                <w:color w:val="auto"/>
                <w:sz w:val="24"/>
                <w:highlight w:val="none"/>
                <w:lang w:val="en-US" w:eastAsia="zh-CN" w:bidi="ar"/>
              </w:rPr>
              <w:t>13个县（市、区）环境空气质量综合指数范围为2.20~2.95，首要污染物均为臭氧</w:t>
            </w:r>
            <w:r>
              <w:rPr>
                <w:rFonts w:hint="eastAsia" w:cs="Times New Roman"/>
                <w:color w:val="auto"/>
                <w:sz w:val="24"/>
                <w:highlight w:val="none"/>
                <w:lang w:val="en-US" w:eastAsia="zh-CN" w:bidi="ar"/>
              </w:rPr>
              <w:t>，</w:t>
            </w:r>
            <w:r>
              <w:rPr>
                <w:rFonts w:hint="eastAsia" w:ascii="Times New Roman" w:hAnsi="Times New Roman" w:eastAsia="宋体" w:cs="Times New Roman"/>
                <w:color w:val="auto"/>
                <w:sz w:val="24"/>
                <w:highlight w:val="none"/>
                <w:lang w:val="en-US" w:eastAsia="zh-CN" w:bidi="ar"/>
              </w:rPr>
              <w:t>空气质量达标天数比例平均为9</w:t>
            </w:r>
            <w:r>
              <w:rPr>
                <w:rFonts w:hint="eastAsia" w:cs="Times New Roman"/>
                <w:color w:val="auto"/>
                <w:sz w:val="24"/>
                <w:highlight w:val="none"/>
                <w:lang w:val="en-US" w:eastAsia="zh-CN" w:bidi="ar"/>
              </w:rPr>
              <w:t>7.6</w:t>
            </w:r>
            <w:r>
              <w:rPr>
                <w:rFonts w:hint="eastAsia" w:ascii="Times New Roman" w:hAnsi="Times New Roman" w:eastAsia="宋体" w:cs="Times New Roman"/>
                <w:color w:val="auto"/>
                <w:sz w:val="24"/>
                <w:highlight w:val="none"/>
                <w:lang w:val="en-US" w:eastAsia="zh-CN" w:bidi="ar"/>
              </w:rPr>
              <w:t>%。</w:t>
            </w:r>
            <w:r>
              <w:rPr>
                <w:rFonts w:hint="eastAsia" w:cs="Times New Roman"/>
                <w:color w:val="auto"/>
                <w:sz w:val="24"/>
                <w:highlight w:val="none"/>
                <w:lang w:val="en-US" w:eastAsia="zh-CN" w:bidi="ar"/>
              </w:rPr>
              <w:t>鲤城区</w:t>
            </w:r>
            <w:r>
              <w:rPr>
                <w:rFonts w:hint="eastAsia" w:ascii="Times New Roman" w:hAnsi="Times New Roman" w:eastAsia="宋体" w:cs="Times New Roman"/>
                <w:color w:val="auto"/>
                <w:sz w:val="24"/>
                <w:highlight w:val="none"/>
                <w:lang w:val="en-US" w:eastAsia="zh-CN" w:bidi="ar"/>
              </w:rPr>
              <w:t>空气质量达标天数比例平均为9</w:t>
            </w:r>
            <w:r>
              <w:rPr>
                <w:rFonts w:hint="eastAsia" w:cs="Times New Roman"/>
                <w:color w:val="auto"/>
                <w:sz w:val="24"/>
                <w:highlight w:val="none"/>
                <w:lang w:val="en-US" w:eastAsia="zh-CN" w:bidi="ar"/>
              </w:rPr>
              <w:t>5.8</w:t>
            </w:r>
            <w:r>
              <w:rPr>
                <w:rFonts w:hint="eastAsia" w:ascii="Times New Roman" w:hAnsi="Times New Roman" w:eastAsia="宋体" w:cs="Times New Roman"/>
                <w:color w:val="auto"/>
                <w:sz w:val="24"/>
                <w:highlight w:val="none"/>
                <w:lang w:val="en-US" w:eastAsia="zh-CN" w:bidi="ar"/>
              </w:rPr>
              <w:t>%，</w:t>
            </w:r>
            <w:r>
              <w:rPr>
                <w:rFonts w:hint="eastAsia" w:ascii="Times New Roman" w:hAnsi="Times New Roman" w:eastAsia="宋体" w:cs="Times New Roman"/>
                <w:color w:val="000000"/>
                <w:sz w:val="24"/>
                <w:highlight w:val="none"/>
                <w:lang w:val="en-US" w:eastAsia="zh-CN" w:bidi="ar"/>
              </w:rPr>
              <w:t>主要污染物指标</w:t>
            </w:r>
            <w:r>
              <w:rPr>
                <w:rFonts w:hint="default" w:ascii="Times New Roman" w:hAnsi="Times New Roman" w:eastAsia="宋体" w:cs="Times New Roman"/>
                <w:color w:val="000000"/>
                <w:sz w:val="24"/>
                <w:highlight w:val="none"/>
                <w:lang w:bidi="ar"/>
              </w:rPr>
              <w:t>可吸入颗粒物（PM</w:t>
            </w:r>
            <w:r>
              <w:rPr>
                <w:rFonts w:hint="default" w:ascii="Times New Roman" w:hAnsi="Times New Roman" w:eastAsia="宋体" w:cs="Times New Roman"/>
                <w:color w:val="000000"/>
                <w:sz w:val="24"/>
                <w:highlight w:val="none"/>
                <w:vertAlign w:val="subscript"/>
                <w:lang w:bidi="ar"/>
              </w:rPr>
              <w:t>10</w:t>
            </w:r>
            <w:r>
              <w:rPr>
                <w:rFonts w:hint="default" w:ascii="Times New Roman" w:hAnsi="Times New Roman" w:eastAsia="宋体" w:cs="Times New Roman"/>
                <w:color w:val="000000"/>
                <w:sz w:val="24"/>
                <w:highlight w:val="none"/>
                <w:lang w:bidi="ar"/>
              </w:rPr>
              <w:t>）、细颗粒物（PM</w:t>
            </w:r>
            <w:r>
              <w:rPr>
                <w:rFonts w:hint="default" w:ascii="Times New Roman" w:hAnsi="Times New Roman" w:eastAsia="宋体" w:cs="Times New Roman"/>
                <w:color w:val="000000"/>
                <w:sz w:val="24"/>
                <w:highlight w:val="none"/>
                <w:vertAlign w:val="subscript"/>
                <w:lang w:bidi="ar"/>
              </w:rPr>
              <w:t>2.5</w:t>
            </w:r>
            <w:r>
              <w:rPr>
                <w:rFonts w:hint="default" w:ascii="Times New Roman" w:hAnsi="Times New Roman" w:eastAsia="宋体" w:cs="Times New Roman"/>
                <w:color w:val="000000"/>
                <w:sz w:val="24"/>
                <w:highlight w:val="none"/>
                <w:lang w:bidi="ar"/>
              </w:rPr>
              <w:t>）、二氧化硫（SO</w:t>
            </w:r>
            <w:r>
              <w:rPr>
                <w:rFonts w:hint="default" w:ascii="Times New Roman" w:hAnsi="Times New Roman" w:eastAsia="宋体" w:cs="Times New Roman"/>
                <w:color w:val="000000"/>
                <w:sz w:val="24"/>
                <w:highlight w:val="none"/>
                <w:vertAlign w:val="subscript"/>
                <w:lang w:bidi="ar"/>
              </w:rPr>
              <w:t>2</w:t>
            </w:r>
            <w:r>
              <w:rPr>
                <w:rFonts w:hint="default" w:ascii="Times New Roman" w:hAnsi="Times New Roman" w:eastAsia="宋体" w:cs="Times New Roman"/>
                <w:color w:val="000000"/>
                <w:sz w:val="24"/>
                <w:highlight w:val="none"/>
                <w:lang w:bidi="ar"/>
              </w:rPr>
              <w:t>）、二氧化氮（NO</w:t>
            </w:r>
            <w:r>
              <w:rPr>
                <w:rFonts w:hint="default" w:ascii="Times New Roman" w:hAnsi="Times New Roman" w:eastAsia="宋体" w:cs="Times New Roman"/>
                <w:color w:val="000000"/>
                <w:sz w:val="24"/>
                <w:highlight w:val="none"/>
                <w:vertAlign w:val="subscript"/>
                <w:lang w:bidi="ar"/>
              </w:rPr>
              <w:t>2</w:t>
            </w:r>
            <w:r>
              <w:rPr>
                <w:rFonts w:hint="default" w:ascii="Times New Roman" w:hAnsi="Times New Roman" w:eastAsia="宋体" w:cs="Times New Roman"/>
                <w:color w:val="000000"/>
                <w:sz w:val="24"/>
                <w:highlight w:val="none"/>
                <w:lang w:bidi="ar"/>
              </w:rPr>
              <w:t>）年均浓度分别为</w:t>
            </w:r>
            <w:r>
              <w:rPr>
                <w:rFonts w:hint="eastAsia" w:ascii="Times New Roman" w:hAnsi="Times New Roman" w:eastAsia="宋体" w:cs="Times New Roman"/>
                <w:color w:val="000000"/>
                <w:sz w:val="24"/>
                <w:highlight w:val="none"/>
                <w:lang w:val="en-US" w:eastAsia="zh-CN" w:bidi="ar"/>
              </w:rPr>
              <w:t>41</w:t>
            </w:r>
            <w:r>
              <w:rPr>
                <w:rFonts w:hint="default" w:ascii="Times New Roman" w:hAnsi="Times New Roman" w:eastAsia="宋体" w:cs="Times New Roman"/>
                <w:color w:val="000000"/>
                <w:sz w:val="24"/>
                <w:highlight w:val="none"/>
                <w:lang w:bidi="ar"/>
              </w:rPr>
              <w:t>µg/m</w:t>
            </w:r>
            <w:r>
              <w:rPr>
                <w:rFonts w:hint="default" w:ascii="Times New Roman" w:hAnsi="Times New Roman" w:eastAsia="宋体" w:cs="Times New Roman"/>
                <w:color w:val="000000"/>
                <w:sz w:val="24"/>
                <w:highlight w:val="none"/>
                <w:vertAlign w:val="superscript"/>
                <w:lang w:bidi="ar"/>
              </w:rPr>
              <w:t>3</w:t>
            </w:r>
            <w:r>
              <w:rPr>
                <w:rFonts w:hint="default" w:ascii="Times New Roman" w:hAnsi="Times New Roman" w:eastAsia="宋体" w:cs="Times New Roman"/>
                <w:color w:val="000000"/>
                <w:sz w:val="24"/>
                <w:highlight w:val="none"/>
                <w:lang w:bidi="ar"/>
              </w:rPr>
              <w:t>、</w:t>
            </w:r>
            <w:r>
              <w:rPr>
                <w:rFonts w:hint="eastAsia" w:ascii="Times New Roman" w:hAnsi="Times New Roman" w:eastAsia="宋体" w:cs="Times New Roman"/>
                <w:color w:val="000000"/>
                <w:sz w:val="24"/>
                <w:highlight w:val="none"/>
                <w:lang w:val="en-US" w:eastAsia="zh-CN" w:bidi="ar"/>
              </w:rPr>
              <w:t>22</w:t>
            </w:r>
            <w:r>
              <w:rPr>
                <w:rFonts w:hint="default" w:ascii="Times New Roman" w:hAnsi="Times New Roman" w:eastAsia="宋体" w:cs="Times New Roman"/>
                <w:color w:val="000000"/>
                <w:sz w:val="24"/>
                <w:highlight w:val="none"/>
                <w:lang w:bidi="ar"/>
              </w:rPr>
              <w:t>µg/m</w:t>
            </w:r>
            <w:r>
              <w:rPr>
                <w:rFonts w:hint="default" w:ascii="Times New Roman" w:hAnsi="Times New Roman" w:eastAsia="宋体" w:cs="Times New Roman"/>
                <w:color w:val="000000"/>
                <w:sz w:val="24"/>
                <w:highlight w:val="none"/>
                <w:vertAlign w:val="superscript"/>
                <w:lang w:bidi="ar"/>
              </w:rPr>
              <w:t>3</w:t>
            </w:r>
            <w:r>
              <w:rPr>
                <w:rFonts w:hint="default" w:ascii="Times New Roman" w:hAnsi="Times New Roman" w:eastAsia="宋体" w:cs="Times New Roman"/>
                <w:color w:val="000000"/>
                <w:sz w:val="24"/>
                <w:highlight w:val="none"/>
                <w:lang w:bidi="ar"/>
              </w:rPr>
              <w:t>、</w:t>
            </w:r>
            <w:r>
              <w:rPr>
                <w:rFonts w:hint="eastAsia" w:ascii="Times New Roman" w:hAnsi="Times New Roman" w:eastAsia="宋体" w:cs="Times New Roman"/>
                <w:color w:val="000000"/>
                <w:sz w:val="24"/>
                <w:highlight w:val="none"/>
                <w:lang w:val="en-US" w:eastAsia="zh-CN" w:bidi="ar"/>
              </w:rPr>
              <w:t>8</w:t>
            </w:r>
            <w:r>
              <w:rPr>
                <w:rFonts w:hint="default" w:ascii="Times New Roman" w:hAnsi="Times New Roman" w:eastAsia="宋体" w:cs="Times New Roman"/>
                <w:color w:val="000000"/>
                <w:sz w:val="24"/>
                <w:highlight w:val="none"/>
                <w:lang w:bidi="ar"/>
              </w:rPr>
              <w:t>µg/m</w:t>
            </w:r>
            <w:r>
              <w:rPr>
                <w:rFonts w:hint="default" w:ascii="Times New Roman" w:hAnsi="Times New Roman" w:eastAsia="宋体" w:cs="Times New Roman"/>
                <w:color w:val="000000"/>
                <w:sz w:val="24"/>
                <w:highlight w:val="none"/>
                <w:vertAlign w:val="superscript"/>
                <w:lang w:bidi="ar"/>
              </w:rPr>
              <w:t>3</w:t>
            </w:r>
            <w:r>
              <w:rPr>
                <w:rFonts w:hint="default" w:ascii="Times New Roman" w:hAnsi="Times New Roman" w:eastAsia="宋体" w:cs="Times New Roman"/>
                <w:color w:val="000000"/>
                <w:sz w:val="24"/>
                <w:highlight w:val="none"/>
                <w:lang w:bidi="ar"/>
              </w:rPr>
              <w:t>、</w:t>
            </w:r>
            <w:r>
              <w:rPr>
                <w:rFonts w:hint="eastAsia" w:ascii="Times New Roman" w:hAnsi="Times New Roman" w:eastAsia="宋体" w:cs="Times New Roman"/>
                <w:color w:val="000000"/>
                <w:sz w:val="24"/>
                <w:highlight w:val="none"/>
                <w:lang w:val="en-US" w:eastAsia="zh-CN" w:bidi="ar"/>
              </w:rPr>
              <w:t>18</w:t>
            </w:r>
            <w:r>
              <w:rPr>
                <w:rFonts w:hint="default" w:ascii="Times New Roman" w:hAnsi="Times New Roman" w:eastAsia="宋体" w:cs="Times New Roman"/>
                <w:color w:val="000000"/>
                <w:sz w:val="24"/>
                <w:highlight w:val="none"/>
                <w:lang w:bidi="ar"/>
              </w:rPr>
              <w:t>µg/m</w:t>
            </w:r>
            <w:r>
              <w:rPr>
                <w:rFonts w:hint="default" w:ascii="Times New Roman" w:hAnsi="Times New Roman" w:eastAsia="宋体" w:cs="Times New Roman"/>
                <w:color w:val="000000"/>
                <w:sz w:val="24"/>
                <w:highlight w:val="none"/>
                <w:vertAlign w:val="superscript"/>
                <w:lang w:bidi="ar"/>
              </w:rPr>
              <w:t>3</w:t>
            </w:r>
            <w:r>
              <w:rPr>
                <w:rFonts w:hint="default" w:ascii="Times New Roman" w:hAnsi="Times New Roman" w:eastAsia="宋体" w:cs="Times New Roman"/>
                <w:color w:val="000000"/>
                <w:sz w:val="24"/>
                <w:highlight w:val="none"/>
                <w:lang w:bidi="ar"/>
              </w:rPr>
              <w:t>，一氧化碳（CO）日均值的第95百分位数为</w:t>
            </w:r>
            <w:r>
              <w:rPr>
                <w:rFonts w:hint="eastAsia" w:ascii="Times New Roman" w:hAnsi="Times New Roman" w:eastAsia="宋体" w:cs="Times New Roman"/>
                <w:color w:val="000000"/>
                <w:sz w:val="24"/>
                <w:highlight w:val="none"/>
                <w:lang w:val="en-US" w:eastAsia="zh-CN" w:bidi="ar"/>
              </w:rPr>
              <w:t>0.9</w:t>
            </w:r>
            <w:r>
              <w:rPr>
                <w:rFonts w:hint="default" w:ascii="Times New Roman" w:hAnsi="Times New Roman" w:eastAsia="宋体" w:cs="Times New Roman"/>
                <w:color w:val="000000"/>
                <w:sz w:val="24"/>
                <w:highlight w:val="none"/>
                <w:lang w:bidi="ar"/>
              </w:rPr>
              <w:t>mg/m</w:t>
            </w:r>
            <w:r>
              <w:rPr>
                <w:rFonts w:hint="default" w:ascii="Times New Roman" w:hAnsi="Times New Roman" w:eastAsia="宋体" w:cs="Times New Roman"/>
                <w:color w:val="000000"/>
                <w:sz w:val="24"/>
                <w:highlight w:val="none"/>
                <w:vertAlign w:val="superscript"/>
                <w:lang w:bidi="ar"/>
              </w:rPr>
              <w:t>3</w:t>
            </w:r>
            <w:r>
              <w:rPr>
                <w:rFonts w:hint="default" w:ascii="Times New Roman" w:hAnsi="Times New Roman" w:eastAsia="宋体" w:cs="Times New Roman"/>
                <w:color w:val="000000"/>
                <w:sz w:val="24"/>
                <w:highlight w:val="none"/>
                <w:lang w:bidi="ar"/>
              </w:rPr>
              <w:t>，臭氧（O</w:t>
            </w:r>
            <w:r>
              <w:rPr>
                <w:rFonts w:hint="default" w:ascii="Times New Roman" w:hAnsi="Times New Roman" w:eastAsia="宋体" w:cs="Times New Roman"/>
                <w:color w:val="000000"/>
                <w:sz w:val="24"/>
                <w:highlight w:val="none"/>
                <w:vertAlign w:val="subscript"/>
                <w:lang w:bidi="ar"/>
              </w:rPr>
              <w:t>3</w:t>
            </w:r>
            <w:r>
              <w:rPr>
                <w:rFonts w:hint="default" w:ascii="Times New Roman" w:hAnsi="Times New Roman" w:eastAsia="宋体" w:cs="Times New Roman"/>
                <w:color w:val="000000"/>
                <w:sz w:val="24"/>
                <w:highlight w:val="none"/>
                <w:lang w:bidi="ar"/>
              </w:rPr>
              <w:t>）日最大8小时平均值的第90百分位数为</w:t>
            </w:r>
            <w:r>
              <w:rPr>
                <w:rFonts w:hint="eastAsia" w:ascii="Times New Roman" w:hAnsi="Times New Roman" w:eastAsia="宋体" w:cs="Times New Roman"/>
                <w:color w:val="000000"/>
                <w:sz w:val="24"/>
                <w:highlight w:val="none"/>
                <w:lang w:val="en-US" w:eastAsia="zh-CN" w:bidi="ar"/>
              </w:rPr>
              <w:t>148</w:t>
            </w:r>
            <w:r>
              <w:rPr>
                <w:rFonts w:hint="default" w:ascii="Times New Roman" w:hAnsi="Times New Roman" w:eastAsia="宋体" w:cs="Times New Roman"/>
                <w:color w:val="000000"/>
                <w:sz w:val="24"/>
                <w:highlight w:val="none"/>
                <w:lang w:bidi="ar"/>
              </w:rPr>
              <w:t>µg/m</w:t>
            </w:r>
            <w:r>
              <w:rPr>
                <w:rFonts w:hint="default" w:ascii="Times New Roman" w:hAnsi="Times New Roman" w:eastAsia="宋体" w:cs="Times New Roman"/>
                <w:color w:val="000000"/>
                <w:sz w:val="24"/>
                <w:highlight w:val="none"/>
                <w:vertAlign w:val="superscript"/>
                <w:lang w:bidi="ar"/>
              </w:rPr>
              <w:t>3</w:t>
            </w:r>
            <w:r>
              <w:rPr>
                <w:rFonts w:hint="default" w:ascii="Times New Roman" w:hAnsi="Times New Roman" w:eastAsia="宋体" w:cs="Times New Roman"/>
                <w:color w:val="000000"/>
                <w:sz w:val="24"/>
                <w:highlight w:val="none"/>
                <w:lang w:bidi="ar"/>
              </w:rPr>
              <w:t>，均达到GB3095-2012《环境空气质量标准》二级标准</w:t>
            </w:r>
            <w:r>
              <w:rPr>
                <w:rFonts w:hint="default" w:ascii="Times New Roman" w:hAnsi="Times New Roman" w:eastAsia="宋体" w:cs="Times New Roman"/>
                <w:color w:val="000000"/>
                <w:sz w:val="24"/>
                <w:highlight w:val="none"/>
                <w:lang w:val="en-US" w:eastAsia="zh-CN" w:bidi="ar"/>
              </w:rPr>
              <w:t>及修改单要求</w:t>
            </w:r>
            <w:r>
              <w:rPr>
                <w:rFonts w:hint="eastAsia" w:ascii="Times New Roman" w:hAnsi="Times New Roman" w:eastAsia="宋体" w:cs="Times New Roman"/>
                <w:b w:val="0"/>
                <w:bCs/>
                <w:color w:val="000000"/>
                <w:sz w:val="24"/>
                <w:szCs w:val="24"/>
                <w:highlight w:val="none"/>
                <w:lang w:eastAsia="zh-CN"/>
              </w:rPr>
              <w:t>。项目所在区域大气划分为二类大气环境功能区，</w:t>
            </w:r>
            <w:r>
              <w:rPr>
                <w:rFonts w:hint="default" w:ascii="Times New Roman" w:hAnsi="Times New Roman" w:eastAsia="宋体" w:cs="Times New Roman"/>
                <w:b w:val="0"/>
                <w:bCs/>
                <w:color w:val="000000"/>
                <w:sz w:val="24"/>
                <w:szCs w:val="24"/>
                <w:highlight w:val="none"/>
              </w:rPr>
              <w:t>项目位于达标区</w:t>
            </w:r>
            <w:r>
              <w:rPr>
                <w:rFonts w:hint="default" w:ascii="Times New Roman" w:hAnsi="Times New Roman" w:eastAsia="宋体" w:cs="Times New Roman"/>
                <w:b w:val="0"/>
                <w:bCs/>
                <w:color w:val="000000"/>
                <w:sz w:val="24"/>
                <w:szCs w:val="24"/>
                <w:highlight w:val="none"/>
                <w:lang w:eastAsia="zh-CN"/>
              </w:rPr>
              <w:t>，</w:t>
            </w:r>
            <w:r>
              <w:rPr>
                <w:rFonts w:hint="eastAsia" w:ascii="Times New Roman" w:hAnsi="Times New Roman" w:eastAsia="宋体" w:cs="Times New Roman"/>
                <w:b w:val="0"/>
                <w:bCs/>
                <w:color w:val="000000"/>
                <w:sz w:val="24"/>
                <w:szCs w:val="24"/>
                <w:highlight w:val="none"/>
                <w:lang w:eastAsia="zh-CN"/>
              </w:rPr>
              <w:t>所在区域环境空气质量达标</w:t>
            </w:r>
            <w:r>
              <w:rPr>
                <w:rFonts w:hint="default" w:ascii="Times New Roman" w:hAnsi="Times New Roman" w:eastAsia="宋体" w:cs="Times New Roman"/>
                <w:b w:val="0"/>
                <w:bCs/>
                <w:color w:val="000000"/>
                <w:sz w:val="24"/>
                <w:szCs w:val="24"/>
                <w:highlight w:val="none"/>
              </w:rPr>
              <w:t>。</w:t>
            </w:r>
            <w:bookmarkEnd w:id="21"/>
          </w:p>
          <w:p w14:paraId="79E33886">
            <w:pPr>
              <w:spacing w:line="360" w:lineRule="auto"/>
              <w:ind w:firstLine="480" w:firstLineChars="200"/>
              <w:jc w:val="both"/>
              <w:rPr>
                <w:rFonts w:hint="default" w:ascii="Times New Roman" w:hAnsi="Times New Roman" w:eastAsia="宋体" w:cs="Times New Roman"/>
                <w:b/>
                <w:color w:val="auto"/>
                <w:kern w:val="2"/>
                <w:sz w:val="24"/>
                <w:szCs w:val="24"/>
                <w:highlight w:val="none"/>
                <w:lang w:val="en-US"/>
              </w:rPr>
            </w:pPr>
            <w:r>
              <w:rPr>
                <w:rFonts w:hint="default" w:ascii="Times New Roman" w:hAnsi="Times New Roman" w:eastAsia="宋体" w:cs="Times New Roman"/>
                <w:color w:val="auto"/>
                <w:sz w:val="24"/>
                <w:szCs w:val="24"/>
                <w:highlight w:val="none"/>
              </w:rPr>
              <w:t>为了解</w:t>
            </w:r>
            <w:r>
              <w:rPr>
                <w:rFonts w:hint="default" w:ascii="Times New Roman" w:hAnsi="Times New Roman" w:eastAsia="宋体" w:cs="Times New Roman"/>
                <w:color w:val="auto"/>
                <w:sz w:val="24"/>
                <w:szCs w:val="24"/>
                <w:highlight w:val="none"/>
                <w:lang w:eastAsia="zh-CN"/>
              </w:rPr>
              <w:t>项目建设区域</w:t>
            </w:r>
            <w:r>
              <w:rPr>
                <w:rFonts w:hint="eastAsia" w:ascii="Times New Roman" w:hAnsi="Times New Roman" w:eastAsia="宋体" w:cs="Times New Roman"/>
                <w:color w:val="auto"/>
                <w:sz w:val="24"/>
                <w:szCs w:val="24"/>
                <w:highlight w:val="none"/>
                <w:lang w:eastAsia="zh-CN"/>
              </w:rPr>
              <w:t>其他</w:t>
            </w:r>
            <w:r>
              <w:rPr>
                <w:rFonts w:hint="default" w:ascii="Times New Roman" w:hAnsi="Times New Roman" w:eastAsia="宋体" w:cs="Times New Roman"/>
                <w:color w:val="auto"/>
                <w:sz w:val="24"/>
                <w:szCs w:val="24"/>
                <w:highlight w:val="none"/>
                <w:lang w:eastAsia="zh-CN"/>
              </w:rPr>
              <w:t>污染物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非甲烷总烃</w:t>
            </w:r>
            <w:r>
              <w:rPr>
                <w:rFonts w:hint="eastAsia" w:ascii="Times New Roman" w:hAnsi="Times New Roman" w:eastAsia="宋体" w:cs="Times New Roman"/>
                <w:color w:val="auto"/>
                <w:sz w:val="24"/>
                <w:szCs w:val="24"/>
                <w:highlight w:val="none"/>
                <w:lang w:eastAsia="zh-CN"/>
              </w:rPr>
              <w:t>）的环境质量现状，本项目</w:t>
            </w:r>
            <w:r>
              <w:rPr>
                <w:rFonts w:hint="eastAsia" w:cs="Times New Roman"/>
                <w:color w:val="auto"/>
                <w:sz w:val="24"/>
                <w:szCs w:val="24"/>
                <w:highlight w:val="none"/>
                <w:lang w:eastAsia="zh-CN"/>
              </w:rPr>
              <w:t>引用《</w:t>
            </w:r>
            <w:r>
              <w:rPr>
                <w:rFonts w:hint="default" w:ascii="Times New Roman" w:hAnsi="Times New Roman" w:eastAsia="宋体" w:cs="Times New Roman"/>
                <w:color w:val="auto"/>
                <w:sz w:val="24"/>
                <w:szCs w:val="24"/>
                <w:highlight w:val="none"/>
                <w:lang w:eastAsia="zh-CN"/>
              </w:rPr>
              <w:t>泉州市海丝检测技术有限公司（新建项目）环境影响报告表</w:t>
            </w:r>
            <w:r>
              <w:rPr>
                <w:rFonts w:hint="eastAsia" w:cs="Times New Roman"/>
                <w:color w:val="auto"/>
                <w:sz w:val="24"/>
                <w:szCs w:val="24"/>
                <w:highlight w:val="none"/>
                <w:lang w:eastAsia="zh-CN"/>
              </w:rPr>
              <w:t>》中的空气质量现状监测数据。</w:t>
            </w:r>
            <w:r>
              <w:rPr>
                <w:rFonts w:hint="eastAsia" w:cs="Times New Roman"/>
                <w:color w:val="auto"/>
                <w:sz w:val="24"/>
                <w:highlight w:val="none"/>
                <w:lang w:eastAsia="zh-CN" w:bidi="ar"/>
              </w:rPr>
              <w:t>监测点位见附图</w:t>
            </w:r>
            <w:r>
              <w:rPr>
                <w:rFonts w:hint="eastAsia" w:cs="Times New Roman"/>
                <w:color w:val="auto"/>
                <w:sz w:val="24"/>
                <w:highlight w:val="none"/>
                <w:lang w:val="en-US" w:eastAsia="zh-CN" w:bidi="ar"/>
              </w:rPr>
              <w:t>10，特征污染物环境质量现状结果见表3-3</w:t>
            </w:r>
          </w:p>
          <w:p w14:paraId="7641C8C0">
            <w:pPr>
              <w:pStyle w:val="9"/>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bCs w:val="0"/>
                <w:color w:val="auto"/>
                <w:kern w:val="2"/>
                <w:sz w:val="24"/>
                <w:szCs w:val="24"/>
                <w:highlight w:val="none"/>
                <w:vertAlign w:val="superscript"/>
                <w:lang w:val="en-US" w:eastAsia="zh-CN"/>
              </w:rPr>
            </w:pPr>
            <w:r>
              <w:rPr>
                <w:rFonts w:hint="default" w:ascii="Times New Roman" w:hAnsi="Times New Roman" w:eastAsia="宋体" w:cs="Times New Roman"/>
                <w:b/>
                <w:bCs w:val="0"/>
                <w:color w:val="auto"/>
                <w:kern w:val="2"/>
                <w:sz w:val="24"/>
                <w:szCs w:val="24"/>
                <w:highlight w:val="none"/>
                <w:lang w:val="en-US" w:eastAsia="zh-CN"/>
              </w:rPr>
              <w:t>表3-</w:t>
            </w:r>
            <w:r>
              <w:rPr>
                <w:rFonts w:hint="eastAsia" w:cs="Times New Roman"/>
                <w:b/>
                <w:bCs w:val="0"/>
                <w:color w:val="auto"/>
                <w:kern w:val="2"/>
                <w:sz w:val="24"/>
                <w:szCs w:val="24"/>
                <w:highlight w:val="none"/>
                <w:lang w:val="en-US" w:eastAsia="zh-CN"/>
              </w:rPr>
              <w:t>3</w:t>
            </w:r>
            <w:r>
              <w:rPr>
                <w:rFonts w:hint="eastAsia" w:ascii="Times New Roman" w:hAnsi="Times New Roman" w:eastAsia="宋体" w:cs="Times New Roman"/>
                <w:b/>
                <w:bCs w:val="0"/>
                <w:color w:val="auto"/>
                <w:kern w:val="2"/>
                <w:sz w:val="24"/>
                <w:szCs w:val="24"/>
                <w:highlight w:val="none"/>
                <w:lang w:val="en-US" w:eastAsia="zh-CN"/>
              </w:rPr>
              <w:t xml:space="preserve"> </w:t>
            </w:r>
            <w:r>
              <w:rPr>
                <w:rFonts w:hint="default" w:ascii="Times New Roman" w:hAnsi="Times New Roman" w:eastAsia="宋体" w:cs="Times New Roman"/>
                <w:b/>
                <w:bCs w:val="0"/>
                <w:color w:val="auto"/>
                <w:kern w:val="2"/>
                <w:sz w:val="24"/>
                <w:szCs w:val="24"/>
                <w:highlight w:val="none"/>
                <w:lang w:val="en-US" w:eastAsia="zh-CN"/>
              </w:rPr>
              <w:t>监测结果一览表</w:t>
            </w:r>
            <w:r>
              <w:rPr>
                <w:rFonts w:hint="eastAsia" w:ascii="Times New Roman" w:hAnsi="Times New Roman" w:eastAsia="宋体" w:cs="Times New Roman"/>
                <w:b/>
                <w:bCs w:val="0"/>
                <w:color w:val="auto"/>
                <w:kern w:val="2"/>
                <w:sz w:val="24"/>
                <w:szCs w:val="24"/>
                <w:highlight w:val="none"/>
                <w:lang w:val="en-US" w:eastAsia="zh-CN"/>
              </w:rPr>
              <w:t xml:space="preserve"> 单位：mg/m</w:t>
            </w:r>
            <w:r>
              <w:rPr>
                <w:rFonts w:hint="eastAsia" w:ascii="Times New Roman" w:hAnsi="Times New Roman" w:eastAsia="宋体" w:cs="Times New Roman"/>
                <w:b/>
                <w:bCs w:val="0"/>
                <w:color w:val="auto"/>
                <w:kern w:val="2"/>
                <w:sz w:val="24"/>
                <w:szCs w:val="24"/>
                <w:highlight w:val="none"/>
                <w:vertAlign w:val="superscript"/>
                <w:lang w:val="en-US" w:eastAsia="zh-CN"/>
              </w:rPr>
              <w:t>3</w:t>
            </w:r>
          </w:p>
          <w:tbl>
            <w:tblPr>
              <w:tblStyle w:val="2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840"/>
              <w:gridCol w:w="765"/>
              <w:gridCol w:w="1155"/>
              <w:gridCol w:w="1530"/>
              <w:gridCol w:w="915"/>
              <w:gridCol w:w="660"/>
              <w:gridCol w:w="695"/>
            </w:tblGrid>
            <w:tr w14:paraId="5C1CC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noWrap w:val="0"/>
                  <w:vAlign w:val="center"/>
                </w:tcPr>
                <w:p w14:paraId="7AE1F240">
                  <w:pPr>
                    <w:spacing w:before="0" w:beforeLines="0" w:after="0" w:afterLines="0" w:line="240" w:lineRule="auto"/>
                    <w:jc w:val="center"/>
                    <w:rPr>
                      <w:rFonts w:hint="eastAsia" w:eastAsia="宋体"/>
                      <w:b w:val="0"/>
                      <w:bCs/>
                      <w:color w:val="000000"/>
                      <w:szCs w:val="21"/>
                      <w:highlight w:val="none"/>
                      <w:lang w:val="en-US" w:eastAsia="zh-CN"/>
                    </w:rPr>
                  </w:pPr>
                  <w:r>
                    <w:rPr>
                      <w:rFonts w:hint="eastAsia"/>
                      <w:b w:val="0"/>
                      <w:bCs/>
                      <w:color w:val="000000"/>
                      <w:szCs w:val="21"/>
                      <w:highlight w:val="none"/>
                      <w:lang w:val="en-US" w:eastAsia="zh-CN"/>
                    </w:rPr>
                    <w:t xml:space="preserve"> </w:t>
                  </w:r>
                </w:p>
              </w:tc>
              <w:tc>
                <w:tcPr>
                  <w:tcW w:w="840" w:type="dxa"/>
                  <w:noWrap w:val="0"/>
                  <w:vAlign w:val="center"/>
                </w:tcPr>
                <w:p w14:paraId="7E66D682">
                  <w:pPr>
                    <w:spacing w:before="0" w:beforeLines="0" w:after="0" w:afterLines="0" w:line="240" w:lineRule="auto"/>
                    <w:jc w:val="center"/>
                    <w:rPr>
                      <w:rFonts w:hint="default" w:eastAsia="宋体"/>
                      <w:b w:val="0"/>
                      <w:bCs/>
                      <w:color w:val="000000"/>
                      <w:szCs w:val="21"/>
                      <w:highlight w:val="none"/>
                      <w:lang w:val="en-US" w:eastAsia="zh-CN"/>
                    </w:rPr>
                  </w:pPr>
                </w:p>
              </w:tc>
              <w:tc>
                <w:tcPr>
                  <w:tcW w:w="765" w:type="dxa"/>
                  <w:noWrap w:val="0"/>
                  <w:vAlign w:val="center"/>
                </w:tcPr>
                <w:p w14:paraId="256F172B">
                  <w:pPr>
                    <w:spacing w:before="0" w:beforeLines="0" w:after="0" w:afterLines="0" w:line="240" w:lineRule="auto"/>
                    <w:jc w:val="center"/>
                    <w:rPr>
                      <w:rFonts w:hint="default"/>
                      <w:b w:val="0"/>
                      <w:bCs/>
                      <w:color w:val="000000"/>
                      <w:szCs w:val="21"/>
                      <w:highlight w:val="none"/>
                      <w:lang w:val="en-US"/>
                    </w:rPr>
                  </w:pPr>
                </w:p>
              </w:tc>
              <w:tc>
                <w:tcPr>
                  <w:tcW w:w="1155" w:type="dxa"/>
                  <w:noWrap w:val="0"/>
                  <w:vAlign w:val="center"/>
                </w:tcPr>
                <w:p w14:paraId="34C9E977">
                  <w:pPr>
                    <w:spacing w:before="0" w:beforeLines="0" w:after="0" w:afterLines="0" w:line="240" w:lineRule="auto"/>
                    <w:jc w:val="center"/>
                    <w:rPr>
                      <w:rFonts w:hint="default"/>
                      <w:b w:val="0"/>
                      <w:bCs/>
                      <w:color w:val="000000"/>
                      <w:szCs w:val="21"/>
                      <w:highlight w:val="none"/>
                      <w:lang w:val="en-US" w:eastAsia="zh-CN"/>
                    </w:rPr>
                  </w:pPr>
                </w:p>
              </w:tc>
              <w:tc>
                <w:tcPr>
                  <w:tcW w:w="1530" w:type="dxa"/>
                  <w:noWrap w:val="0"/>
                  <w:vAlign w:val="center"/>
                </w:tcPr>
                <w:p w14:paraId="350F5652">
                  <w:pPr>
                    <w:spacing w:before="0" w:beforeLines="0" w:after="0" w:afterLines="0" w:line="240" w:lineRule="auto"/>
                    <w:jc w:val="center"/>
                    <w:rPr>
                      <w:rFonts w:hint="default"/>
                      <w:b w:val="0"/>
                      <w:bCs/>
                      <w:color w:val="000000"/>
                      <w:szCs w:val="21"/>
                      <w:highlight w:val="none"/>
                      <w:lang w:val="en-US" w:eastAsia="zh-CN"/>
                    </w:rPr>
                  </w:pPr>
                </w:p>
              </w:tc>
              <w:tc>
                <w:tcPr>
                  <w:tcW w:w="915" w:type="dxa"/>
                  <w:noWrap w:val="0"/>
                  <w:vAlign w:val="center"/>
                </w:tcPr>
                <w:p w14:paraId="34C8BB78">
                  <w:pPr>
                    <w:spacing w:before="0" w:beforeLines="0" w:after="0" w:afterLines="0" w:line="240" w:lineRule="auto"/>
                    <w:jc w:val="center"/>
                    <w:rPr>
                      <w:rFonts w:hint="default" w:eastAsia="宋体"/>
                      <w:b w:val="0"/>
                      <w:bCs/>
                      <w:color w:val="000000"/>
                      <w:szCs w:val="21"/>
                      <w:highlight w:val="none"/>
                      <w:lang w:val="en-US" w:eastAsia="zh-CN"/>
                    </w:rPr>
                  </w:pPr>
                </w:p>
              </w:tc>
              <w:tc>
                <w:tcPr>
                  <w:tcW w:w="660" w:type="dxa"/>
                  <w:noWrap w:val="0"/>
                  <w:vAlign w:val="center"/>
                </w:tcPr>
                <w:p w14:paraId="78AC81A6">
                  <w:pPr>
                    <w:spacing w:before="0" w:beforeLines="0" w:after="0" w:afterLines="0" w:line="240" w:lineRule="auto"/>
                    <w:jc w:val="center"/>
                    <w:rPr>
                      <w:rFonts w:hint="default" w:eastAsia="宋体"/>
                      <w:b w:val="0"/>
                      <w:bCs/>
                      <w:color w:val="000000"/>
                      <w:szCs w:val="21"/>
                      <w:highlight w:val="none"/>
                      <w:lang w:val="en-US" w:eastAsia="zh-CN"/>
                    </w:rPr>
                  </w:pPr>
                </w:p>
              </w:tc>
              <w:tc>
                <w:tcPr>
                  <w:tcW w:w="695" w:type="dxa"/>
                  <w:noWrap w:val="0"/>
                  <w:vAlign w:val="center"/>
                </w:tcPr>
                <w:p w14:paraId="371CE42E">
                  <w:pPr>
                    <w:spacing w:before="0" w:beforeLines="0" w:after="0" w:afterLines="0" w:line="240" w:lineRule="auto"/>
                    <w:jc w:val="center"/>
                    <w:rPr>
                      <w:rFonts w:hint="default"/>
                      <w:b w:val="0"/>
                      <w:bCs/>
                      <w:color w:val="000000"/>
                      <w:szCs w:val="21"/>
                      <w:highlight w:val="none"/>
                      <w:lang w:val="en-US" w:eastAsia="zh-CN"/>
                    </w:rPr>
                  </w:pPr>
                </w:p>
              </w:tc>
            </w:tr>
            <w:tr w14:paraId="7A9D3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noWrap w:val="0"/>
                  <w:vAlign w:val="center"/>
                </w:tcPr>
                <w:p w14:paraId="14F97DC3">
                  <w:pPr>
                    <w:autoSpaceDE w:val="0"/>
                    <w:spacing w:beforeLines="0" w:afterLines="0"/>
                    <w:jc w:val="center"/>
                    <w:rPr>
                      <w:rFonts w:hint="default" w:eastAsia="宋体"/>
                      <w:color w:val="000000"/>
                      <w:szCs w:val="21"/>
                      <w:highlight w:val="none"/>
                      <w:lang w:val="en-US" w:eastAsia="zh-CN"/>
                    </w:rPr>
                  </w:pPr>
                  <w:r>
                    <w:rPr>
                      <w:rFonts w:hint="eastAsia"/>
                      <w:color w:val="000000"/>
                      <w:szCs w:val="21"/>
                      <w:highlight w:val="none"/>
                      <w:lang w:val="en-US" w:eastAsia="zh-CN"/>
                    </w:rPr>
                    <w:t xml:space="preserve"> </w:t>
                  </w:r>
                </w:p>
              </w:tc>
              <w:tc>
                <w:tcPr>
                  <w:tcW w:w="840" w:type="dxa"/>
                  <w:noWrap w:val="0"/>
                  <w:vAlign w:val="center"/>
                </w:tcPr>
                <w:p w14:paraId="409DB2B4">
                  <w:pPr>
                    <w:spacing w:beforeLines="0" w:afterLines="0"/>
                    <w:jc w:val="center"/>
                    <w:rPr>
                      <w:rFonts w:hint="default" w:eastAsia="宋体"/>
                      <w:color w:val="000000"/>
                      <w:szCs w:val="21"/>
                      <w:highlight w:val="none"/>
                      <w:lang w:val="en-US" w:eastAsia="zh-CN"/>
                    </w:rPr>
                  </w:pPr>
                </w:p>
              </w:tc>
              <w:tc>
                <w:tcPr>
                  <w:tcW w:w="765" w:type="dxa"/>
                  <w:noWrap w:val="0"/>
                  <w:vAlign w:val="center"/>
                </w:tcPr>
                <w:p w14:paraId="354A4790">
                  <w:pPr>
                    <w:autoSpaceDE w:val="0"/>
                    <w:spacing w:beforeLines="0" w:afterLines="0"/>
                    <w:jc w:val="center"/>
                    <w:rPr>
                      <w:rFonts w:hint="default" w:eastAsia="宋体"/>
                      <w:color w:val="000000"/>
                      <w:szCs w:val="21"/>
                      <w:highlight w:val="none"/>
                      <w:lang w:val="en-US" w:eastAsia="zh-CN"/>
                    </w:rPr>
                  </w:pPr>
                </w:p>
              </w:tc>
              <w:tc>
                <w:tcPr>
                  <w:tcW w:w="1155" w:type="dxa"/>
                  <w:noWrap w:val="0"/>
                  <w:vAlign w:val="center"/>
                </w:tcPr>
                <w:p w14:paraId="13DF6495">
                  <w:pPr>
                    <w:keepNext w:val="0"/>
                    <w:keepLines w:val="0"/>
                    <w:pageBreakBefore w:val="0"/>
                    <w:widowControl w:val="0"/>
                    <w:kinsoku/>
                    <w:wordWrap/>
                    <w:overflowPunct/>
                    <w:topLinePunct w:val="0"/>
                    <w:autoSpaceDE w:val="0"/>
                    <w:autoSpaceDN/>
                    <w:bidi w:val="0"/>
                    <w:adjustRightInd/>
                    <w:snapToGrid/>
                    <w:spacing w:beforeLines="0" w:afterLines="0"/>
                    <w:ind w:left="0"/>
                    <w:jc w:val="center"/>
                    <w:textAlignment w:val="auto"/>
                    <w:rPr>
                      <w:rFonts w:hint="default" w:eastAsia="宋体"/>
                      <w:color w:val="000000"/>
                      <w:szCs w:val="21"/>
                      <w:highlight w:val="none"/>
                      <w:lang w:val="en-US" w:eastAsia="zh-CN"/>
                    </w:rPr>
                  </w:pPr>
                </w:p>
              </w:tc>
              <w:tc>
                <w:tcPr>
                  <w:tcW w:w="1530" w:type="dxa"/>
                  <w:noWrap w:val="0"/>
                  <w:vAlign w:val="center"/>
                </w:tcPr>
                <w:p w14:paraId="7B1AB7A7">
                  <w:pPr>
                    <w:keepNext w:val="0"/>
                    <w:keepLines w:val="0"/>
                    <w:pageBreakBefore w:val="0"/>
                    <w:widowControl w:val="0"/>
                    <w:kinsoku/>
                    <w:wordWrap/>
                    <w:overflowPunct/>
                    <w:topLinePunct w:val="0"/>
                    <w:autoSpaceDE w:val="0"/>
                    <w:autoSpaceDN/>
                    <w:bidi w:val="0"/>
                    <w:adjustRightInd/>
                    <w:snapToGrid/>
                    <w:spacing w:beforeLines="0" w:afterLines="0"/>
                    <w:ind w:left="0"/>
                    <w:jc w:val="center"/>
                    <w:textAlignment w:val="auto"/>
                    <w:rPr>
                      <w:rFonts w:hint="default" w:eastAsia="宋体"/>
                      <w:color w:val="000000"/>
                      <w:szCs w:val="21"/>
                      <w:highlight w:val="none"/>
                      <w:lang w:val="en-US" w:eastAsia="zh-CN"/>
                    </w:rPr>
                  </w:pPr>
                </w:p>
              </w:tc>
              <w:tc>
                <w:tcPr>
                  <w:tcW w:w="915" w:type="dxa"/>
                  <w:noWrap w:val="0"/>
                  <w:vAlign w:val="center"/>
                </w:tcPr>
                <w:p w14:paraId="556BBCFE">
                  <w:pPr>
                    <w:keepNext w:val="0"/>
                    <w:keepLines w:val="0"/>
                    <w:pageBreakBefore w:val="0"/>
                    <w:widowControl w:val="0"/>
                    <w:kinsoku/>
                    <w:wordWrap/>
                    <w:overflowPunct/>
                    <w:topLinePunct w:val="0"/>
                    <w:autoSpaceDE w:val="0"/>
                    <w:autoSpaceDN/>
                    <w:bidi w:val="0"/>
                    <w:adjustRightInd/>
                    <w:snapToGrid/>
                    <w:spacing w:beforeLines="0" w:afterLines="0"/>
                    <w:ind w:left="0"/>
                    <w:jc w:val="center"/>
                    <w:textAlignment w:val="auto"/>
                    <w:rPr>
                      <w:rFonts w:hint="default" w:eastAsia="宋体"/>
                      <w:color w:val="000000"/>
                      <w:szCs w:val="21"/>
                      <w:highlight w:val="none"/>
                      <w:lang w:val="en-US" w:eastAsia="zh-CN"/>
                    </w:rPr>
                  </w:pPr>
                </w:p>
              </w:tc>
              <w:tc>
                <w:tcPr>
                  <w:tcW w:w="660" w:type="dxa"/>
                  <w:noWrap w:val="0"/>
                  <w:vAlign w:val="center"/>
                </w:tcPr>
                <w:p w14:paraId="03476735">
                  <w:pPr>
                    <w:keepNext w:val="0"/>
                    <w:keepLines w:val="0"/>
                    <w:pageBreakBefore w:val="0"/>
                    <w:widowControl w:val="0"/>
                    <w:kinsoku/>
                    <w:wordWrap/>
                    <w:overflowPunct/>
                    <w:topLinePunct w:val="0"/>
                    <w:autoSpaceDE w:val="0"/>
                    <w:autoSpaceDN/>
                    <w:bidi w:val="0"/>
                    <w:adjustRightInd/>
                    <w:snapToGrid/>
                    <w:spacing w:beforeLines="0" w:afterLines="0"/>
                    <w:ind w:left="0"/>
                    <w:jc w:val="center"/>
                    <w:textAlignment w:val="auto"/>
                    <w:rPr>
                      <w:rFonts w:hint="default" w:eastAsia="宋体"/>
                      <w:color w:val="000000"/>
                      <w:szCs w:val="21"/>
                      <w:highlight w:val="none"/>
                      <w:lang w:val="en-US" w:eastAsia="zh-CN"/>
                    </w:rPr>
                  </w:pPr>
                </w:p>
              </w:tc>
              <w:tc>
                <w:tcPr>
                  <w:tcW w:w="695" w:type="dxa"/>
                  <w:noWrap w:val="0"/>
                  <w:vAlign w:val="center"/>
                </w:tcPr>
                <w:p w14:paraId="7A3FC718">
                  <w:pPr>
                    <w:keepNext w:val="0"/>
                    <w:keepLines w:val="0"/>
                    <w:pageBreakBefore w:val="0"/>
                    <w:widowControl w:val="0"/>
                    <w:kinsoku/>
                    <w:wordWrap/>
                    <w:overflowPunct/>
                    <w:topLinePunct w:val="0"/>
                    <w:autoSpaceDE w:val="0"/>
                    <w:autoSpaceDN/>
                    <w:bidi w:val="0"/>
                    <w:adjustRightInd/>
                    <w:snapToGrid/>
                    <w:spacing w:beforeLines="0" w:afterLines="0"/>
                    <w:ind w:left="0"/>
                    <w:jc w:val="center"/>
                    <w:textAlignment w:val="auto"/>
                    <w:rPr>
                      <w:rFonts w:hint="default"/>
                      <w:color w:val="000000"/>
                      <w:szCs w:val="21"/>
                      <w:highlight w:val="none"/>
                      <w:lang w:val="en-US" w:eastAsia="zh-CN"/>
                    </w:rPr>
                  </w:pPr>
                </w:p>
              </w:tc>
            </w:tr>
            <w:tr w14:paraId="66F9B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noWrap w:val="0"/>
                  <w:vAlign w:val="center"/>
                </w:tcPr>
                <w:p w14:paraId="6CDDA202">
                  <w:pPr>
                    <w:spacing w:before="0" w:beforeLines="0" w:after="0" w:afterLines="0" w:line="240" w:lineRule="auto"/>
                    <w:rPr>
                      <w:rFonts w:hint="eastAsia" w:eastAsia="宋体"/>
                      <w:color w:val="000000"/>
                      <w:szCs w:val="21"/>
                      <w:highlight w:val="none"/>
                      <w:lang w:val="en-US" w:eastAsia="zh-CN"/>
                    </w:rPr>
                  </w:pPr>
                  <w:r>
                    <w:rPr>
                      <w:rFonts w:hint="eastAsia" w:hAnsi="宋体" w:eastAsia="宋体"/>
                      <w:b/>
                      <w:bCs/>
                      <w:color w:val="000000"/>
                      <w:szCs w:val="21"/>
                      <w:highlight w:val="none"/>
                      <w:lang w:val="en-US" w:eastAsia="zh-CN"/>
                    </w:rPr>
                    <w:t xml:space="preserve"> </w:t>
                  </w:r>
                </w:p>
              </w:tc>
              <w:tc>
                <w:tcPr>
                  <w:tcW w:w="6560" w:type="dxa"/>
                  <w:gridSpan w:val="7"/>
                  <w:noWrap w:val="0"/>
                  <w:vAlign w:val="center"/>
                </w:tcPr>
                <w:p w14:paraId="1D227F27">
                  <w:pPr>
                    <w:spacing w:before="0" w:beforeLines="0" w:after="0" w:afterLines="0" w:line="240" w:lineRule="auto"/>
                    <w:rPr>
                      <w:rFonts w:hint="default" w:eastAsia="Times New Roman"/>
                      <w:color w:val="000000"/>
                      <w:szCs w:val="21"/>
                      <w:highlight w:val="none"/>
                      <w:lang w:val="en-US"/>
                    </w:rPr>
                  </w:pPr>
                </w:p>
              </w:tc>
            </w:tr>
          </w:tbl>
          <w:p w14:paraId="5C118C86">
            <w:pPr>
              <w:spacing w:before="249" w:beforeLines="50"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kern w:val="1"/>
                <w:sz w:val="24"/>
                <w:highlight w:val="none"/>
              </w:rPr>
              <w:t>《</w:t>
            </w:r>
            <w:r>
              <w:rPr>
                <w:rFonts w:hint="default" w:ascii="Times New Roman" w:hAnsi="Times New Roman" w:eastAsia="宋体" w:cs="Times New Roman"/>
                <w:color w:val="auto"/>
                <w:kern w:val="1"/>
                <w:sz w:val="24"/>
                <w:highlight w:val="none"/>
                <w:lang w:eastAsia="zh-CN"/>
              </w:rPr>
              <w:t>建设项目环境影响报告表编制技术指南（污染影响类）（试行）</w:t>
            </w:r>
            <w:r>
              <w:rPr>
                <w:rFonts w:hint="default" w:ascii="Times New Roman" w:hAnsi="Times New Roman" w:eastAsia="宋体" w:cs="Times New Roman"/>
                <w:color w:val="auto"/>
                <w:kern w:val="1"/>
                <w:sz w:val="24"/>
                <w:highlight w:val="none"/>
              </w:rPr>
              <w:t>》</w:t>
            </w:r>
            <w:r>
              <w:rPr>
                <w:rFonts w:hint="default" w:ascii="Times New Roman" w:hAnsi="Times New Roman" w:eastAsia="宋体" w:cs="Times New Roman"/>
                <w:color w:val="auto"/>
                <w:kern w:val="1"/>
                <w:sz w:val="24"/>
                <w:highlight w:val="none"/>
                <w:lang w:eastAsia="zh-CN"/>
              </w:rPr>
              <w:t>要求，“区域内其他污染物可引用建设项目周边</w:t>
            </w:r>
            <w:r>
              <w:rPr>
                <w:rFonts w:hint="default" w:ascii="Times New Roman" w:hAnsi="Times New Roman" w:eastAsia="宋体" w:cs="Times New Roman"/>
                <w:color w:val="auto"/>
                <w:kern w:val="1"/>
                <w:sz w:val="24"/>
                <w:highlight w:val="none"/>
                <w:lang w:val="en-US" w:eastAsia="zh-CN"/>
              </w:rPr>
              <w:t>5千米范围内近3年的现有监测数据</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szCs w:val="24"/>
                <w:highlight w:val="none"/>
                <w:lang w:val="en-US" w:eastAsia="zh-CN"/>
              </w:rPr>
              <w:t>项目引用的其他污染物非甲烷总烃的现状监测点位布置位于项目评价范围内，监测时效在有效期内。</w:t>
            </w:r>
            <w:r>
              <w:rPr>
                <w:rFonts w:hint="eastAsia" w:ascii="Times New Roman" w:hAnsi="Times New Roman" w:eastAsia="宋体" w:cs="Times New Roman"/>
                <w:color w:val="auto"/>
                <w:sz w:val="24"/>
                <w:szCs w:val="24"/>
                <w:highlight w:val="none"/>
                <w:lang w:val="en-US" w:eastAsia="zh-CN"/>
              </w:rPr>
              <w:t>根据上表监测数据，</w:t>
            </w:r>
            <w:r>
              <w:rPr>
                <w:rFonts w:hint="default" w:ascii="Times New Roman" w:hAnsi="Times New Roman" w:eastAsia="宋体" w:cs="Times New Roman"/>
                <w:color w:val="auto"/>
                <w:sz w:val="24"/>
                <w:szCs w:val="24"/>
                <w:highlight w:val="none"/>
                <w:lang w:val="en-US" w:eastAsia="zh-CN"/>
              </w:rPr>
              <w:t>项目区域内</w:t>
            </w:r>
            <w:r>
              <w:rPr>
                <w:rFonts w:hint="eastAsia" w:ascii="Times New Roman" w:hAnsi="Times New Roman" w:cs="Times New Roman"/>
                <w:color w:val="000000"/>
                <w:sz w:val="24"/>
                <w:highlight w:val="none"/>
                <w:lang w:eastAsia="zh-CN"/>
              </w:rPr>
              <w:t>非甲烷总烃环境质量现状符合</w:t>
            </w:r>
            <w:r>
              <w:rPr>
                <w:rFonts w:hint="default" w:ascii="Times New Roman" w:hAnsi="Times New Roman" w:cs="Times New Roman"/>
                <w:color w:val="000000"/>
                <w:kern w:val="1"/>
                <w:sz w:val="24"/>
                <w:highlight w:val="none"/>
              </w:rPr>
              <w:t>《大气污染物综合排放标准详解》</w:t>
            </w:r>
            <w:r>
              <w:rPr>
                <w:rFonts w:hint="eastAsia" w:ascii="Times New Roman" w:hAnsi="Times New Roman" w:cs="Times New Roman"/>
                <w:color w:val="000000"/>
                <w:kern w:val="1"/>
                <w:sz w:val="24"/>
                <w:highlight w:val="none"/>
                <w:lang w:eastAsia="zh-CN"/>
              </w:rPr>
              <w:t>限值标准。项目</w:t>
            </w:r>
            <w:r>
              <w:rPr>
                <w:rFonts w:hint="default" w:ascii="Times New Roman" w:hAnsi="Times New Roman" w:eastAsia="宋体" w:cs="Times New Roman"/>
                <w:color w:val="auto"/>
                <w:sz w:val="24"/>
                <w:szCs w:val="24"/>
                <w:highlight w:val="none"/>
                <w:lang w:val="en-US" w:eastAsia="zh-CN"/>
              </w:rPr>
              <w:t>区域的其他污染物非甲烷总烃尚有环境容量。</w:t>
            </w:r>
          </w:p>
          <w:p w14:paraId="65AE695A">
            <w:pPr>
              <w:pStyle w:val="54"/>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bCs w:val="0"/>
                <w:color w:val="auto"/>
                <w:kern w:val="2"/>
                <w:sz w:val="28"/>
                <w:szCs w:val="28"/>
                <w:highlight w:val="none"/>
                <w:lang w:val="en-US" w:eastAsia="zh-CN" w:bidi="ar-SA"/>
              </w:rPr>
            </w:pPr>
            <w:r>
              <w:rPr>
                <w:rFonts w:hint="default" w:ascii="Times New Roman" w:hAnsi="Times New Roman" w:eastAsia="宋体" w:cs="Times New Roman"/>
                <w:b/>
                <w:bCs w:val="0"/>
                <w:color w:val="auto"/>
                <w:kern w:val="2"/>
                <w:sz w:val="28"/>
                <w:szCs w:val="28"/>
                <w:highlight w:val="none"/>
                <w:lang w:val="en-US" w:eastAsia="zh-CN" w:bidi="ar-SA"/>
              </w:rPr>
              <w:t>3.2水环境质量现状</w:t>
            </w:r>
          </w:p>
          <w:p w14:paraId="5355B157">
            <w:pPr>
              <w:pStyle w:val="20"/>
              <w:spacing w:line="360" w:lineRule="auto"/>
              <w:ind w:firstLine="480" w:firstLineChars="200"/>
              <w:jc w:val="both"/>
              <w:rPr>
                <w:rFonts w:hint="default" w:ascii="Times New Roman" w:hAnsi="Times New Roman" w:eastAsia="宋体" w:cs="Times New Roman"/>
                <w:b w:val="0"/>
                <w:bCs/>
                <w:color w:val="000000"/>
                <w:sz w:val="24"/>
                <w:szCs w:val="24"/>
                <w:highlight w:val="none"/>
              </w:rPr>
            </w:pPr>
            <w:r>
              <w:rPr>
                <w:rFonts w:hint="default" w:ascii="Times New Roman" w:hAnsi="Times New Roman" w:eastAsia="宋体" w:cs="Times New Roman"/>
                <w:b w:val="0"/>
                <w:bCs/>
                <w:color w:val="000000"/>
                <w:sz w:val="24"/>
                <w:szCs w:val="24"/>
                <w:highlight w:val="none"/>
              </w:rPr>
              <w:t>根据泉州市生态环境局202</w:t>
            </w:r>
            <w:r>
              <w:rPr>
                <w:rFonts w:hint="eastAsia" w:cs="Times New Roman"/>
                <w:b w:val="0"/>
                <w:bCs/>
                <w:color w:val="000000"/>
                <w:sz w:val="24"/>
                <w:szCs w:val="24"/>
                <w:highlight w:val="none"/>
                <w:lang w:val="en-US" w:eastAsia="zh-CN"/>
              </w:rPr>
              <w:t>4</w:t>
            </w:r>
            <w:r>
              <w:rPr>
                <w:rFonts w:hint="default" w:ascii="Times New Roman" w:hAnsi="Times New Roman" w:eastAsia="宋体" w:cs="Times New Roman"/>
                <w:b w:val="0"/>
                <w:bCs/>
                <w:color w:val="000000"/>
                <w:sz w:val="24"/>
                <w:szCs w:val="24"/>
                <w:highlight w:val="none"/>
              </w:rPr>
              <w:t>年6月发布的《泉州市生态环境状况公报</w:t>
            </w:r>
            <w:r>
              <w:rPr>
                <w:rFonts w:hint="eastAsia"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202</w:t>
            </w:r>
            <w:r>
              <w:rPr>
                <w:rFonts w:hint="eastAsia" w:cs="Times New Roman"/>
                <w:b w:val="0"/>
                <w:bCs/>
                <w:color w:val="000000"/>
                <w:sz w:val="24"/>
                <w:szCs w:val="24"/>
                <w:highlight w:val="none"/>
                <w:lang w:val="en-US" w:eastAsia="zh-CN"/>
              </w:rPr>
              <w:t>3年度</w:t>
            </w:r>
            <w:r>
              <w:rPr>
                <w:rFonts w:hint="eastAsia"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w:t>
            </w:r>
            <w:r>
              <w:rPr>
                <w:rFonts w:hint="eastAsia"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202</w:t>
            </w:r>
            <w:r>
              <w:rPr>
                <w:rFonts w:hint="eastAsia" w:cs="Times New Roman"/>
                <w:b w:val="0"/>
                <w:bCs/>
                <w:color w:val="000000"/>
                <w:sz w:val="24"/>
                <w:szCs w:val="24"/>
                <w:highlight w:val="none"/>
                <w:lang w:val="en-US" w:eastAsia="zh-CN"/>
              </w:rPr>
              <w:t>3</w:t>
            </w:r>
            <w:r>
              <w:rPr>
                <w:rFonts w:hint="default" w:ascii="Times New Roman" w:hAnsi="Times New Roman" w:eastAsia="宋体" w:cs="Times New Roman"/>
                <w:b w:val="0"/>
                <w:bCs/>
                <w:color w:val="000000"/>
                <w:sz w:val="24"/>
                <w:szCs w:val="24"/>
                <w:highlight w:val="none"/>
              </w:rPr>
              <w:t>年，泉州市生态环境状况总体优良。全市主要流域14个国控断面、25个省控断面I</w:t>
            </w:r>
            <w:r>
              <w:rPr>
                <w:rFonts w:hint="eastAsia" w:ascii="Times New Roman" w:hAnsi="Times New Roman" w:eastAsia="宋体" w:cs="Times New Roman"/>
                <w:b w:val="0"/>
                <w:bCs/>
                <w:color w:val="000000"/>
                <w:sz w:val="24"/>
                <w:szCs w:val="24"/>
                <w:highlight w:val="none"/>
                <w:lang w:val="en-US" w:eastAsia="zh-CN"/>
              </w:rPr>
              <w:t>~</w:t>
            </w:r>
            <w:r>
              <w:rPr>
                <w:rFonts w:hint="default" w:ascii="Times New Roman" w:hAnsi="Times New Roman" w:eastAsia="宋体" w:cs="Times New Roman"/>
                <w:b w:val="0"/>
                <w:bCs/>
                <w:color w:val="000000"/>
                <w:sz w:val="24"/>
                <w:szCs w:val="24"/>
                <w:highlight w:val="none"/>
              </w:rPr>
              <w:t>Ⅲ类水质均为100%</w:t>
            </w:r>
            <w:r>
              <w:rPr>
                <w:rFonts w:hint="eastAsia" w:ascii="Times New Roman" w:hAnsi="Times New Roman" w:eastAsia="宋体"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其中，I</w:t>
            </w:r>
            <w:r>
              <w:rPr>
                <w:rFonts w:hint="eastAsia" w:ascii="Times New Roman" w:hAnsi="Times New Roman" w:eastAsia="宋体" w:cs="Times New Roman"/>
                <w:b w:val="0"/>
                <w:bCs/>
                <w:color w:val="000000"/>
                <w:sz w:val="24"/>
                <w:szCs w:val="24"/>
                <w:highlight w:val="none"/>
                <w:lang w:val="en-US" w:eastAsia="zh-CN"/>
              </w:rPr>
              <w:t>~</w:t>
            </w:r>
            <w:r>
              <w:rPr>
                <w:rFonts w:hint="default" w:ascii="Times New Roman" w:hAnsi="Times New Roman" w:eastAsia="宋体" w:cs="Times New Roman"/>
                <w:b w:val="0"/>
                <w:bCs/>
                <w:color w:val="000000"/>
                <w:sz w:val="24"/>
                <w:szCs w:val="24"/>
                <w:highlight w:val="none"/>
              </w:rPr>
              <w:t>Ⅱ类水质比例为</w:t>
            </w:r>
            <w:r>
              <w:rPr>
                <w:rFonts w:hint="eastAsia" w:cs="Times New Roman"/>
                <w:b w:val="0"/>
                <w:bCs/>
                <w:color w:val="000000"/>
                <w:sz w:val="24"/>
                <w:szCs w:val="24"/>
                <w:highlight w:val="none"/>
                <w:lang w:val="en-US" w:eastAsia="zh-CN"/>
              </w:rPr>
              <w:t>51.3</w:t>
            </w:r>
            <w:r>
              <w:rPr>
                <w:rFonts w:hint="default" w:ascii="Times New Roman" w:hAnsi="Times New Roman" w:eastAsia="宋体" w:cs="Times New Roman"/>
                <w:b w:val="0"/>
                <w:bCs/>
                <w:color w:val="000000"/>
                <w:sz w:val="24"/>
                <w:szCs w:val="24"/>
                <w:highlight w:val="none"/>
              </w:rPr>
              <w:t>%。全市县级及以上集中式生活饮用水水源地共12个，Ⅲ类水质达标率100%。全市34条小流域的39个监测考核断面I</w:t>
            </w:r>
            <w:r>
              <w:rPr>
                <w:rFonts w:hint="eastAsia" w:ascii="Times New Roman" w:hAnsi="Times New Roman" w:eastAsia="宋体" w:cs="Times New Roman"/>
                <w:b w:val="0"/>
                <w:bCs/>
                <w:color w:val="000000"/>
                <w:sz w:val="24"/>
                <w:szCs w:val="24"/>
                <w:highlight w:val="none"/>
                <w:lang w:val="en-US" w:eastAsia="zh-CN"/>
              </w:rPr>
              <w:t>~</w:t>
            </w:r>
            <w:r>
              <w:rPr>
                <w:rFonts w:hint="default" w:ascii="Times New Roman" w:hAnsi="Times New Roman" w:eastAsia="宋体" w:cs="Times New Roman"/>
                <w:b w:val="0"/>
                <w:bCs/>
                <w:color w:val="000000"/>
                <w:sz w:val="24"/>
                <w:szCs w:val="24"/>
                <w:highlight w:val="none"/>
              </w:rPr>
              <w:t>Ш类水质比例为9</w:t>
            </w:r>
            <w:r>
              <w:rPr>
                <w:rFonts w:hint="eastAsia" w:cs="Times New Roman"/>
                <w:b w:val="0"/>
                <w:bCs/>
                <w:color w:val="000000"/>
                <w:sz w:val="24"/>
                <w:szCs w:val="24"/>
                <w:highlight w:val="none"/>
                <w:lang w:val="en-US" w:eastAsia="zh-CN"/>
              </w:rPr>
              <w:t>2.3</w:t>
            </w:r>
            <w:r>
              <w:rPr>
                <w:rFonts w:hint="default" w:ascii="Times New Roman" w:hAnsi="Times New Roman" w:eastAsia="宋体" w:cs="Times New Roman"/>
                <w:b w:val="0"/>
                <w:bCs/>
                <w:color w:val="000000"/>
                <w:sz w:val="24"/>
                <w:szCs w:val="24"/>
                <w:highlight w:val="none"/>
              </w:rPr>
              <w:t>%，Ⅳ类水质比例为5.</w:t>
            </w:r>
            <w:r>
              <w:rPr>
                <w:rFonts w:hint="eastAsia" w:cs="Times New Roman"/>
                <w:b w:val="0"/>
                <w:bCs/>
                <w:color w:val="000000"/>
                <w:sz w:val="24"/>
                <w:szCs w:val="24"/>
                <w:highlight w:val="none"/>
                <w:lang w:val="en-US" w:eastAsia="zh-CN"/>
              </w:rPr>
              <w:t>1</w:t>
            </w:r>
            <w:r>
              <w:rPr>
                <w:rFonts w:hint="default" w:ascii="Times New Roman" w:hAnsi="Times New Roman" w:eastAsia="宋体" w:cs="Times New Roman"/>
                <w:b w:val="0"/>
                <w:bCs/>
                <w:color w:val="000000"/>
                <w:sz w:val="24"/>
                <w:szCs w:val="24"/>
                <w:highlight w:val="none"/>
              </w:rPr>
              <w:t>%</w:t>
            </w:r>
            <w:r>
              <w:rPr>
                <w:rFonts w:hint="eastAsia" w:cs="Times New Roman"/>
                <w:b w:val="0"/>
                <w:bCs/>
                <w:color w:val="000000"/>
                <w:sz w:val="24"/>
                <w:szCs w:val="24"/>
                <w:highlight w:val="none"/>
                <w:lang w:eastAsia="zh-CN"/>
              </w:rPr>
              <w:t>，Ⅴ类水质比例为</w:t>
            </w:r>
            <w:r>
              <w:rPr>
                <w:rFonts w:hint="eastAsia" w:cs="Times New Roman"/>
                <w:b w:val="0"/>
                <w:bCs/>
                <w:color w:val="000000"/>
                <w:sz w:val="24"/>
                <w:szCs w:val="24"/>
                <w:highlight w:val="none"/>
                <w:lang w:val="en-US" w:eastAsia="zh-CN"/>
              </w:rPr>
              <w:t>2.6%</w:t>
            </w:r>
            <w:r>
              <w:rPr>
                <w:rFonts w:hint="default" w:ascii="Times New Roman" w:hAnsi="Times New Roman" w:eastAsia="宋体" w:cs="Times New Roman"/>
                <w:b w:val="0"/>
                <w:bCs/>
                <w:color w:val="000000"/>
                <w:sz w:val="24"/>
                <w:szCs w:val="24"/>
                <w:highlight w:val="none"/>
              </w:rPr>
              <w:t>。山美水库总体水质为Ⅱ类，惠女水库总体水质为Ⅲ类。全市2</w:t>
            </w:r>
            <w:r>
              <w:rPr>
                <w:rFonts w:hint="eastAsia" w:cs="Times New Roman"/>
                <w:b w:val="0"/>
                <w:bCs/>
                <w:color w:val="000000"/>
                <w:sz w:val="24"/>
                <w:szCs w:val="24"/>
                <w:highlight w:val="none"/>
                <w:lang w:val="en-US" w:eastAsia="zh-CN"/>
              </w:rPr>
              <w:t>5</w:t>
            </w:r>
            <w:r>
              <w:rPr>
                <w:rFonts w:hint="default" w:ascii="Times New Roman" w:hAnsi="Times New Roman" w:eastAsia="宋体" w:cs="Times New Roman"/>
                <w:b w:val="0"/>
                <w:bCs/>
                <w:color w:val="000000"/>
                <w:sz w:val="24"/>
                <w:szCs w:val="24"/>
                <w:highlight w:val="none"/>
              </w:rPr>
              <w:t>个地下水监测点位</w:t>
            </w:r>
            <w:r>
              <w:rPr>
                <w:rFonts w:hint="eastAsia" w:ascii="Times New Roman" w:hAnsi="Times New Roman" w:eastAsia="宋体"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包括</w:t>
            </w:r>
            <w:r>
              <w:rPr>
                <w:rFonts w:hint="eastAsia" w:cs="Times New Roman"/>
                <w:b w:val="0"/>
                <w:bCs/>
                <w:color w:val="000000"/>
                <w:sz w:val="24"/>
                <w:szCs w:val="24"/>
                <w:highlight w:val="none"/>
                <w:lang w:val="en-US" w:eastAsia="zh-CN"/>
              </w:rPr>
              <w:t>4</w:t>
            </w:r>
            <w:r>
              <w:rPr>
                <w:rFonts w:hint="default" w:ascii="Times New Roman" w:hAnsi="Times New Roman" w:eastAsia="宋体" w:cs="Times New Roman"/>
                <w:b w:val="0"/>
                <w:bCs/>
                <w:color w:val="000000"/>
                <w:sz w:val="24"/>
                <w:szCs w:val="24"/>
                <w:highlight w:val="none"/>
              </w:rPr>
              <w:t>个国考点位、</w:t>
            </w:r>
            <w:r>
              <w:rPr>
                <w:rFonts w:hint="eastAsia" w:cs="Times New Roman"/>
                <w:b w:val="0"/>
                <w:bCs/>
                <w:color w:val="000000"/>
                <w:sz w:val="24"/>
                <w:szCs w:val="24"/>
                <w:highlight w:val="none"/>
                <w:lang w:val="en-US" w:eastAsia="zh-CN"/>
              </w:rPr>
              <w:t>21</w:t>
            </w:r>
            <w:r>
              <w:rPr>
                <w:rFonts w:hint="default" w:ascii="Times New Roman" w:hAnsi="Times New Roman" w:eastAsia="宋体" w:cs="Times New Roman"/>
                <w:b w:val="0"/>
                <w:bCs/>
                <w:color w:val="000000"/>
                <w:sz w:val="24"/>
                <w:szCs w:val="24"/>
                <w:highlight w:val="none"/>
              </w:rPr>
              <w:t>个省考点位</w:t>
            </w:r>
            <w:r>
              <w:rPr>
                <w:rFonts w:hint="eastAsia" w:ascii="Times New Roman" w:hAnsi="Times New Roman" w:eastAsia="宋体"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，水质</w:t>
            </w:r>
            <w:r>
              <w:rPr>
                <w:rFonts w:hint="eastAsia" w:cs="Times New Roman"/>
                <w:b w:val="0"/>
                <w:bCs/>
                <w:color w:val="000000"/>
                <w:sz w:val="24"/>
                <w:szCs w:val="24"/>
                <w:highlight w:val="none"/>
                <w:lang w:eastAsia="zh-CN"/>
              </w:rPr>
              <w:t>Ⅰ</w:t>
            </w:r>
            <w:r>
              <w:rPr>
                <w:rFonts w:hint="eastAsia" w:cs="Times New Roman"/>
                <w:b w:val="0"/>
                <w:bCs/>
                <w:color w:val="000000"/>
                <w:sz w:val="24"/>
                <w:szCs w:val="24"/>
                <w:highlight w:val="none"/>
                <w:lang w:val="en-US" w:eastAsia="zh-CN"/>
              </w:rPr>
              <w:t>~</w:t>
            </w:r>
            <w:r>
              <w:rPr>
                <w:rFonts w:hint="default" w:ascii="Times New Roman" w:hAnsi="Times New Roman" w:eastAsia="宋体" w:cs="Times New Roman"/>
                <w:b w:val="0"/>
                <w:bCs/>
                <w:color w:val="000000"/>
                <w:sz w:val="24"/>
                <w:szCs w:val="24"/>
                <w:highlight w:val="none"/>
              </w:rPr>
              <w:t>Ⅳ类点位共计</w:t>
            </w:r>
            <w:r>
              <w:rPr>
                <w:rFonts w:hint="eastAsia" w:cs="Times New Roman"/>
                <w:b w:val="0"/>
                <w:bCs/>
                <w:color w:val="000000"/>
                <w:sz w:val="24"/>
                <w:szCs w:val="24"/>
                <w:highlight w:val="none"/>
                <w:lang w:val="en-US" w:eastAsia="zh-CN"/>
              </w:rPr>
              <w:t>20</w:t>
            </w:r>
            <w:r>
              <w:rPr>
                <w:rFonts w:hint="default" w:ascii="Times New Roman" w:hAnsi="Times New Roman" w:eastAsia="宋体" w:cs="Times New Roman"/>
                <w:b w:val="0"/>
                <w:bCs/>
                <w:color w:val="000000"/>
                <w:sz w:val="24"/>
                <w:szCs w:val="24"/>
                <w:highlight w:val="none"/>
              </w:rPr>
              <w:t>个，占比</w:t>
            </w:r>
            <w:r>
              <w:rPr>
                <w:rFonts w:hint="eastAsia" w:cs="Times New Roman"/>
                <w:b w:val="0"/>
                <w:bCs/>
                <w:color w:val="000000"/>
                <w:sz w:val="24"/>
                <w:szCs w:val="24"/>
                <w:highlight w:val="none"/>
                <w:lang w:val="en-US" w:eastAsia="zh-CN"/>
              </w:rPr>
              <w:t>80.0</w:t>
            </w:r>
            <w:r>
              <w:rPr>
                <w:rFonts w:hint="default" w:ascii="Times New Roman" w:hAnsi="Times New Roman" w:eastAsia="宋体" w:cs="Times New Roman"/>
                <w:b w:val="0"/>
                <w:bCs/>
                <w:color w:val="000000"/>
                <w:sz w:val="24"/>
                <w:szCs w:val="24"/>
                <w:highlight w:val="none"/>
              </w:rPr>
              <w:t>%，其中，Ⅲ类</w:t>
            </w:r>
            <w:r>
              <w:rPr>
                <w:rFonts w:hint="eastAsia" w:cs="Times New Roman"/>
                <w:b w:val="0"/>
                <w:bCs/>
                <w:color w:val="000000"/>
                <w:sz w:val="24"/>
                <w:szCs w:val="24"/>
                <w:highlight w:val="none"/>
                <w:lang w:val="en-US" w:eastAsia="zh-CN"/>
              </w:rPr>
              <w:t>9</w:t>
            </w:r>
            <w:r>
              <w:rPr>
                <w:rFonts w:hint="default" w:ascii="Times New Roman" w:hAnsi="Times New Roman" w:eastAsia="宋体" w:cs="Times New Roman"/>
                <w:b w:val="0"/>
                <w:bCs/>
                <w:color w:val="000000"/>
                <w:sz w:val="24"/>
                <w:szCs w:val="24"/>
                <w:highlight w:val="none"/>
              </w:rPr>
              <w:t>个、</w:t>
            </w:r>
            <w:r>
              <w:rPr>
                <w:rFonts w:hint="eastAsia" w:ascii="Times New Roman" w:hAnsi="Times New Roman" w:eastAsia="宋体" w:cs="Times New Roman"/>
                <w:b w:val="0"/>
                <w:bCs/>
                <w:color w:val="000000"/>
                <w:sz w:val="24"/>
                <w:szCs w:val="24"/>
                <w:highlight w:val="none"/>
                <w:lang w:eastAsia="zh-CN"/>
              </w:rPr>
              <w:t>Ⅳ</w:t>
            </w:r>
            <w:r>
              <w:rPr>
                <w:rFonts w:hint="default" w:ascii="Times New Roman" w:hAnsi="Times New Roman" w:eastAsia="宋体" w:cs="Times New Roman"/>
                <w:b w:val="0"/>
                <w:bCs/>
                <w:color w:val="000000"/>
                <w:sz w:val="24"/>
                <w:szCs w:val="24"/>
                <w:highlight w:val="none"/>
              </w:rPr>
              <w:t>类</w:t>
            </w:r>
            <w:r>
              <w:rPr>
                <w:rFonts w:hint="eastAsia" w:cs="Times New Roman"/>
                <w:b w:val="0"/>
                <w:bCs/>
                <w:color w:val="000000"/>
                <w:sz w:val="24"/>
                <w:szCs w:val="24"/>
                <w:highlight w:val="none"/>
                <w:lang w:val="en-US" w:eastAsia="zh-CN"/>
              </w:rPr>
              <w:t>11</w:t>
            </w:r>
            <w:r>
              <w:rPr>
                <w:rFonts w:hint="default" w:ascii="Times New Roman" w:hAnsi="Times New Roman" w:eastAsia="宋体" w:cs="Times New Roman"/>
                <w:b w:val="0"/>
                <w:bCs/>
                <w:color w:val="000000"/>
                <w:sz w:val="24"/>
                <w:szCs w:val="24"/>
                <w:highlight w:val="none"/>
              </w:rPr>
              <w:t>个</w:t>
            </w:r>
            <w:r>
              <w:rPr>
                <w:rFonts w:hint="eastAsia" w:ascii="Times New Roman" w:hAnsi="Times New Roman" w:eastAsia="宋体"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水质V类</w:t>
            </w:r>
            <w:r>
              <w:rPr>
                <w:rFonts w:hint="eastAsia" w:cs="Times New Roman"/>
                <w:b w:val="0"/>
                <w:bCs/>
                <w:color w:val="000000"/>
                <w:sz w:val="24"/>
                <w:szCs w:val="24"/>
                <w:highlight w:val="none"/>
                <w:lang w:val="en-US" w:eastAsia="zh-CN"/>
              </w:rPr>
              <w:t>5</w:t>
            </w:r>
            <w:r>
              <w:rPr>
                <w:rFonts w:hint="default" w:ascii="Times New Roman" w:hAnsi="Times New Roman" w:eastAsia="宋体" w:cs="Times New Roman"/>
                <w:b w:val="0"/>
                <w:bCs/>
                <w:color w:val="000000"/>
                <w:sz w:val="24"/>
                <w:szCs w:val="24"/>
                <w:highlight w:val="none"/>
              </w:rPr>
              <w:t>个。全市近岸海域水质监测站位共36个(含19个国控点位，17个省控点位)，一、二类海水水质站位比例</w:t>
            </w:r>
            <w:r>
              <w:rPr>
                <w:rFonts w:hint="eastAsia" w:cs="Times New Roman"/>
                <w:b w:val="0"/>
                <w:bCs/>
                <w:color w:val="000000"/>
                <w:sz w:val="24"/>
                <w:szCs w:val="24"/>
                <w:highlight w:val="none"/>
                <w:lang w:val="en-US" w:eastAsia="zh-CN"/>
              </w:rPr>
              <w:t>91.7</w:t>
            </w:r>
            <w:r>
              <w:rPr>
                <w:rFonts w:hint="default" w:ascii="Times New Roman" w:hAnsi="Times New Roman" w:eastAsia="宋体" w:cs="Times New Roman"/>
                <w:b w:val="0"/>
                <w:bCs/>
                <w:color w:val="000000"/>
                <w:sz w:val="24"/>
                <w:szCs w:val="24"/>
                <w:highlight w:val="none"/>
              </w:rPr>
              <w:t>%。</w:t>
            </w:r>
          </w:p>
          <w:p w14:paraId="15F100AB">
            <w:pPr>
              <w:pStyle w:val="20"/>
              <w:spacing w:line="360" w:lineRule="auto"/>
              <w:ind w:firstLine="480" w:firstLineChars="200"/>
              <w:jc w:val="both"/>
              <w:rPr>
                <w:rFonts w:hint="default" w:ascii="Times New Roman" w:hAnsi="Times New Roman" w:eastAsia="宋体" w:cs="Times New Roman"/>
                <w:b w:val="0"/>
                <w:bCs/>
                <w:color w:val="000000"/>
                <w:sz w:val="24"/>
                <w:szCs w:val="24"/>
                <w:highlight w:val="none"/>
              </w:rPr>
            </w:pPr>
            <w:r>
              <w:rPr>
                <w:rFonts w:hint="default" w:ascii="Times New Roman" w:hAnsi="Times New Roman" w:eastAsia="宋体" w:cs="Times New Roman"/>
                <w:b w:val="0"/>
                <w:bCs/>
                <w:color w:val="000000"/>
                <w:sz w:val="24"/>
                <w:szCs w:val="24"/>
                <w:highlight w:val="none"/>
              </w:rPr>
              <w:t>根据《泉州市生态环境状况公报</w:t>
            </w:r>
            <w:r>
              <w:rPr>
                <w:rFonts w:hint="eastAsia"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202</w:t>
            </w:r>
            <w:r>
              <w:rPr>
                <w:rFonts w:hint="eastAsia" w:cs="Times New Roman"/>
                <w:b w:val="0"/>
                <w:bCs/>
                <w:color w:val="000000"/>
                <w:sz w:val="24"/>
                <w:szCs w:val="24"/>
                <w:highlight w:val="none"/>
                <w:lang w:val="en-US" w:eastAsia="zh-CN"/>
              </w:rPr>
              <w:t>3年度</w:t>
            </w:r>
            <w:r>
              <w:rPr>
                <w:rFonts w:hint="eastAsia"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》结论表明，晋江鲟埔断面水质可达GB3097-1997《海水水质标准》第三类标准，南低渠水质可达GB3838-2002《地表水环境质量标准》Ⅳ类标准。</w:t>
            </w:r>
          </w:p>
          <w:p w14:paraId="7212D44B">
            <w:pPr>
              <w:pStyle w:val="54"/>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bCs w:val="0"/>
                <w:color w:val="auto"/>
                <w:kern w:val="2"/>
                <w:sz w:val="28"/>
                <w:szCs w:val="28"/>
                <w:highlight w:val="none"/>
                <w:lang w:val="en-US" w:eastAsia="zh-CN" w:bidi="ar-SA"/>
              </w:rPr>
            </w:pPr>
            <w:r>
              <w:rPr>
                <w:rFonts w:hint="default" w:ascii="Times New Roman" w:hAnsi="Times New Roman" w:eastAsia="宋体" w:cs="Times New Roman"/>
                <w:b/>
                <w:bCs w:val="0"/>
                <w:color w:val="auto"/>
                <w:kern w:val="2"/>
                <w:sz w:val="28"/>
                <w:szCs w:val="28"/>
                <w:highlight w:val="none"/>
                <w:lang w:val="en-US" w:eastAsia="zh-CN" w:bidi="ar-SA"/>
              </w:rPr>
              <w:t>3.</w:t>
            </w:r>
            <w:r>
              <w:rPr>
                <w:rFonts w:hint="eastAsia" w:ascii="Times New Roman" w:hAnsi="Times New Roman" w:cs="Times New Roman"/>
                <w:b/>
                <w:bCs w:val="0"/>
                <w:color w:val="auto"/>
                <w:kern w:val="2"/>
                <w:sz w:val="28"/>
                <w:szCs w:val="28"/>
                <w:highlight w:val="none"/>
                <w:lang w:val="en-US" w:eastAsia="zh-CN" w:bidi="ar-SA"/>
              </w:rPr>
              <w:t>3</w:t>
            </w:r>
            <w:r>
              <w:rPr>
                <w:rFonts w:hint="default" w:ascii="Times New Roman" w:hAnsi="Times New Roman" w:eastAsia="宋体" w:cs="Times New Roman"/>
                <w:b/>
                <w:bCs w:val="0"/>
                <w:color w:val="auto"/>
                <w:kern w:val="2"/>
                <w:sz w:val="28"/>
                <w:szCs w:val="28"/>
                <w:highlight w:val="none"/>
                <w:lang w:val="en-US" w:eastAsia="zh-CN" w:bidi="ar-SA"/>
              </w:rPr>
              <w:t>声环境质量现状</w:t>
            </w:r>
          </w:p>
          <w:p w14:paraId="641B1E7B">
            <w:pPr>
              <w:keepNext w:val="0"/>
              <w:keepLines w:val="0"/>
              <w:pageBreakBefore w:val="0"/>
              <w:widowControl w:val="0"/>
              <w:kinsoku/>
              <w:wordWrap/>
              <w:overflowPunct/>
              <w:topLinePunct w:val="0"/>
              <w:autoSpaceDE/>
              <w:autoSpaceDN/>
              <w:bidi w:val="0"/>
              <w:adjustRightInd/>
              <w:snapToGrid/>
              <w:spacing w:before="0" w:beforeLines="0" w:line="360" w:lineRule="auto"/>
              <w:ind w:firstLine="488" w:firstLineChars="200"/>
              <w:jc w:val="both"/>
              <w:textAlignment w:val="auto"/>
              <w:rPr>
                <w:rFonts w:hint="eastAsia" w:ascii="Times New Roman" w:hAnsi="Times New Roman" w:cs="Times New Roman"/>
                <w:color w:val="000000"/>
                <w:spacing w:val="2"/>
                <w:sz w:val="24"/>
                <w:highlight w:val="none"/>
                <w:lang w:val="en-US" w:eastAsia="zh-CN"/>
              </w:rPr>
            </w:pPr>
            <w:r>
              <w:rPr>
                <w:rFonts w:hint="eastAsia" w:ascii="Times New Roman" w:hAnsi="Times New Roman" w:cs="Times New Roman"/>
                <w:color w:val="000000"/>
                <w:spacing w:val="2"/>
                <w:sz w:val="24"/>
                <w:highlight w:val="none"/>
                <w:lang w:eastAsia="zh-CN"/>
              </w:rPr>
              <w:t>根据《泉州市</w:t>
            </w:r>
            <w:r>
              <w:rPr>
                <w:rFonts w:hint="eastAsia" w:cs="Times New Roman"/>
                <w:color w:val="000000"/>
                <w:spacing w:val="2"/>
                <w:sz w:val="24"/>
                <w:highlight w:val="none"/>
                <w:lang w:eastAsia="zh-CN"/>
              </w:rPr>
              <w:t>中心</w:t>
            </w:r>
            <w:r>
              <w:rPr>
                <w:rFonts w:hint="eastAsia" w:ascii="Times New Roman" w:hAnsi="Times New Roman" w:cs="Times New Roman"/>
                <w:color w:val="000000"/>
                <w:spacing w:val="2"/>
                <w:sz w:val="24"/>
                <w:highlight w:val="none"/>
                <w:lang w:eastAsia="zh-CN"/>
              </w:rPr>
              <w:t>城区声环境功能区划图（</w:t>
            </w:r>
            <w:r>
              <w:rPr>
                <w:rFonts w:hint="eastAsia" w:cs="Times New Roman"/>
                <w:color w:val="000000"/>
                <w:spacing w:val="2"/>
                <w:sz w:val="24"/>
                <w:highlight w:val="none"/>
                <w:lang w:val="en-US" w:eastAsia="zh-CN"/>
              </w:rPr>
              <w:t>2016-2030</w:t>
            </w:r>
            <w:r>
              <w:rPr>
                <w:rFonts w:hint="eastAsia" w:ascii="Times New Roman" w:hAnsi="Times New Roman" w:cs="Times New Roman"/>
                <w:color w:val="000000"/>
                <w:spacing w:val="2"/>
                <w:sz w:val="24"/>
                <w:highlight w:val="none"/>
                <w:lang w:val="en-US" w:eastAsia="zh-CN"/>
              </w:rPr>
              <w:t>）规定，项目所在区域为声环境功能</w:t>
            </w:r>
            <w:r>
              <w:rPr>
                <w:rFonts w:hint="eastAsia" w:cs="Times New Roman"/>
                <w:color w:val="000000"/>
                <w:spacing w:val="2"/>
                <w:sz w:val="24"/>
                <w:highlight w:val="none"/>
                <w:lang w:val="en-US" w:eastAsia="zh-CN"/>
              </w:rPr>
              <w:t>3</w:t>
            </w:r>
            <w:r>
              <w:rPr>
                <w:rFonts w:hint="eastAsia" w:ascii="Times New Roman" w:hAnsi="Times New Roman" w:cs="Times New Roman"/>
                <w:color w:val="000000"/>
                <w:spacing w:val="2"/>
                <w:sz w:val="24"/>
                <w:highlight w:val="none"/>
                <w:lang w:val="en-US" w:eastAsia="zh-CN"/>
              </w:rPr>
              <w:t>类区，项目厂界环境噪声执行GB3096-2008《声环境质量标准》</w:t>
            </w:r>
            <w:r>
              <w:rPr>
                <w:rFonts w:hint="eastAsia" w:cs="Times New Roman"/>
                <w:color w:val="000000"/>
                <w:spacing w:val="2"/>
                <w:sz w:val="24"/>
                <w:highlight w:val="none"/>
                <w:lang w:val="en-US" w:eastAsia="zh-CN"/>
              </w:rPr>
              <w:t>3</w:t>
            </w:r>
            <w:r>
              <w:rPr>
                <w:rFonts w:hint="eastAsia" w:ascii="Times New Roman" w:hAnsi="Times New Roman" w:cs="Times New Roman"/>
                <w:color w:val="000000"/>
                <w:spacing w:val="2"/>
                <w:sz w:val="24"/>
                <w:highlight w:val="none"/>
                <w:lang w:val="en-US" w:eastAsia="zh-CN"/>
              </w:rPr>
              <w:t>类标准，具体详见表3-</w:t>
            </w:r>
            <w:r>
              <w:rPr>
                <w:rFonts w:hint="eastAsia" w:cs="Times New Roman"/>
                <w:color w:val="000000"/>
                <w:spacing w:val="2"/>
                <w:sz w:val="24"/>
                <w:highlight w:val="none"/>
                <w:lang w:val="en-US" w:eastAsia="zh-CN"/>
              </w:rPr>
              <w:t>4</w:t>
            </w:r>
            <w:r>
              <w:rPr>
                <w:rFonts w:hint="eastAsia" w:ascii="Times New Roman" w:hAnsi="Times New Roman" w:cs="Times New Roman"/>
                <w:color w:val="000000"/>
                <w:spacing w:val="2"/>
                <w:sz w:val="24"/>
                <w:highlight w:val="none"/>
                <w:lang w:val="en-US" w:eastAsia="zh-CN"/>
              </w:rPr>
              <w:t>。</w:t>
            </w:r>
          </w:p>
          <w:p w14:paraId="4D38CF2D">
            <w:pPr>
              <w:pStyle w:val="53"/>
              <w:spacing w:before="0" w:beforeLines="0" w:after="0" w:afterLines="0"/>
              <w:jc w:val="center"/>
              <w:rPr>
                <w:rFonts w:hint="default" w:ascii="Times New Roman" w:hAnsi="Times New Roman" w:eastAsia="宋体" w:cs="Times New Roman"/>
                <w:b/>
                <w:bCs w:val="0"/>
                <w:color w:val="000000"/>
                <w:sz w:val="24"/>
                <w:szCs w:val="24"/>
                <w:highlight w:val="none"/>
                <w:lang w:val="en-US" w:eastAsia="zh-CN"/>
              </w:rPr>
            </w:pPr>
            <w:r>
              <w:rPr>
                <w:rFonts w:hint="default" w:ascii="Times New Roman" w:hAnsi="Times New Roman" w:eastAsia="宋体" w:cs="Times New Roman"/>
                <w:b/>
                <w:bCs w:val="0"/>
                <w:color w:val="000000"/>
                <w:sz w:val="24"/>
                <w:szCs w:val="24"/>
                <w:highlight w:val="none"/>
              </w:rPr>
              <w:t>表</w:t>
            </w:r>
            <w:r>
              <w:rPr>
                <w:rFonts w:hint="eastAsia" w:ascii="Times New Roman" w:hAnsi="Times New Roman" w:eastAsia="宋体" w:cs="Times New Roman"/>
                <w:b/>
                <w:bCs w:val="0"/>
                <w:color w:val="000000"/>
                <w:sz w:val="24"/>
                <w:szCs w:val="24"/>
                <w:highlight w:val="none"/>
                <w:lang w:val="en-US" w:eastAsia="zh-CN"/>
              </w:rPr>
              <w:t>3</w:t>
            </w:r>
            <w:r>
              <w:rPr>
                <w:rFonts w:hint="default" w:ascii="Times New Roman" w:hAnsi="Times New Roman" w:eastAsia="宋体" w:cs="Times New Roman"/>
                <w:b/>
                <w:bCs w:val="0"/>
                <w:color w:val="000000"/>
                <w:sz w:val="24"/>
                <w:szCs w:val="24"/>
                <w:highlight w:val="none"/>
              </w:rPr>
              <w:t>-</w:t>
            </w:r>
            <w:r>
              <w:rPr>
                <w:rFonts w:hint="eastAsia" w:ascii="Times New Roman" w:hAnsi="Times New Roman" w:cs="Times New Roman"/>
                <w:b/>
                <w:bCs w:val="0"/>
                <w:color w:val="000000"/>
                <w:sz w:val="24"/>
                <w:szCs w:val="24"/>
                <w:highlight w:val="none"/>
                <w:lang w:val="en-US" w:eastAsia="zh-CN"/>
              </w:rPr>
              <w:t xml:space="preserve">4 </w:t>
            </w:r>
            <w:r>
              <w:rPr>
                <w:rFonts w:hint="eastAsia" w:ascii="Times New Roman" w:hAnsi="Times New Roman" w:eastAsia="宋体" w:cs="Times New Roman"/>
                <w:b/>
                <w:bCs w:val="0"/>
                <w:color w:val="000000"/>
                <w:sz w:val="24"/>
                <w:szCs w:val="24"/>
                <w:highlight w:val="none"/>
                <w:lang w:val="en-US" w:eastAsia="zh-CN"/>
              </w:rPr>
              <w:t>GB3096-2008《</w:t>
            </w:r>
            <w:r>
              <w:rPr>
                <w:rFonts w:hint="eastAsia" w:ascii="Times New Roman" w:hAnsi="Times New Roman" w:eastAsia="宋体" w:cs="Times New Roman"/>
                <w:b/>
                <w:bCs w:val="0"/>
                <w:color w:val="000000"/>
                <w:sz w:val="24"/>
                <w:szCs w:val="24"/>
                <w:highlight w:val="none"/>
                <w:lang w:eastAsia="zh-CN"/>
              </w:rPr>
              <w:t>声环境质量标准》</w:t>
            </w:r>
            <w:r>
              <w:rPr>
                <w:rFonts w:hint="eastAsia" w:ascii="Times New Roman" w:hAnsi="Times New Roman" w:eastAsia="宋体" w:cs="Times New Roman"/>
                <w:b/>
                <w:bCs w:val="0"/>
                <w:color w:val="000000"/>
                <w:sz w:val="24"/>
                <w:szCs w:val="24"/>
                <w:highlight w:val="none"/>
                <w:lang w:val="en-US" w:eastAsia="zh-CN"/>
              </w:rPr>
              <w:t>（摘录） 单位：dB（A）</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2655"/>
              <w:gridCol w:w="2807"/>
            </w:tblGrid>
            <w:tr w14:paraId="5113E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8" w:type="pct"/>
                  <w:vMerge w:val="restart"/>
                  <w:tcBorders>
                    <w:tl2br w:val="single" w:color="auto" w:sz="4" w:space="0"/>
                  </w:tcBorders>
                  <w:noWrap w:val="0"/>
                  <w:vAlign w:val="center"/>
                </w:tcPr>
                <w:p w14:paraId="75AE7A69">
                  <w:pPr>
                    <w:autoSpaceDE w:val="0"/>
                    <w:autoSpaceDN w:val="0"/>
                    <w:spacing w:line="240" w:lineRule="auto"/>
                    <w:ind w:firstLine="0" w:firstLineChars="0"/>
                    <w:jc w:val="right"/>
                    <w:textAlignment w:val="bottom"/>
                    <w:rPr>
                      <w:rFonts w:hint="default" w:ascii="Times New Roman" w:hAnsi="Times New Roman" w:eastAsia="宋体" w:cs="Times New Roman"/>
                      <w:b w:val="0"/>
                      <w:bCs w:val="0"/>
                      <w:spacing w:val="0"/>
                      <w:sz w:val="21"/>
                      <w:szCs w:val="21"/>
                      <w:highlight w:val="none"/>
                    </w:rPr>
                  </w:pPr>
                  <w:r>
                    <w:rPr>
                      <w:rFonts w:hint="eastAsia" w:ascii="Times New Roman" w:hAnsi="Times New Roman" w:eastAsia="宋体" w:cs="Times New Roman"/>
                      <w:b w:val="0"/>
                      <w:bCs w:val="0"/>
                      <w:spacing w:val="0"/>
                      <w:sz w:val="21"/>
                      <w:szCs w:val="21"/>
                      <w:highlight w:val="none"/>
                      <w:lang w:eastAsia="zh-CN"/>
                    </w:rPr>
                    <w:t>时段</w:t>
                  </w:r>
                </w:p>
                <w:p w14:paraId="5E29F2F3">
                  <w:pPr>
                    <w:autoSpaceDE w:val="0"/>
                    <w:autoSpaceDN w:val="0"/>
                    <w:spacing w:line="240" w:lineRule="auto"/>
                    <w:ind w:firstLine="0" w:firstLineChars="0"/>
                    <w:jc w:val="left"/>
                    <w:textAlignment w:val="bottom"/>
                    <w:rPr>
                      <w:rFonts w:hint="default" w:ascii="Times New Roman" w:hAnsi="Times New Roman" w:eastAsia="宋体" w:cs="Times New Roman"/>
                      <w:b w:val="0"/>
                      <w:bCs w:val="0"/>
                      <w:spacing w:val="0"/>
                      <w:sz w:val="21"/>
                      <w:szCs w:val="21"/>
                      <w:highlight w:val="none"/>
                    </w:rPr>
                  </w:pPr>
                  <w:r>
                    <w:rPr>
                      <w:rFonts w:hint="eastAsia" w:ascii="Times New Roman" w:hAnsi="Times New Roman" w:eastAsia="宋体" w:cs="Times New Roman"/>
                      <w:b w:val="0"/>
                      <w:bCs w:val="0"/>
                      <w:spacing w:val="0"/>
                      <w:sz w:val="21"/>
                      <w:szCs w:val="21"/>
                      <w:highlight w:val="none"/>
                      <w:lang w:eastAsia="zh-CN"/>
                    </w:rPr>
                    <w:t>声环境功能</w:t>
                  </w:r>
                  <w:r>
                    <w:rPr>
                      <w:rFonts w:hint="default" w:ascii="Times New Roman" w:hAnsi="Times New Roman" w:eastAsia="宋体" w:cs="Times New Roman"/>
                      <w:b w:val="0"/>
                      <w:bCs w:val="0"/>
                      <w:spacing w:val="0"/>
                      <w:sz w:val="21"/>
                      <w:szCs w:val="21"/>
                      <w:highlight w:val="none"/>
                    </w:rPr>
                    <w:t>类别</w:t>
                  </w:r>
                </w:p>
              </w:tc>
              <w:tc>
                <w:tcPr>
                  <w:tcW w:w="3481" w:type="pct"/>
                  <w:gridSpan w:val="2"/>
                  <w:noWrap w:val="0"/>
                  <w:vAlign w:val="center"/>
                </w:tcPr>
                <w:p w14:paraId="091DAD02">
                  <w:pPr>
                    <w:autoSpaceDE w:val="0"/>
                    <w:autoSpaceDN w:val="0"/>
                    <w:spacing w:line="240" w:lineRule="auto"/>
                    <w:ind w:firstLine="0" w:firstLineChars="0"/>
                    <w:jc w:val="center"/>
                    <w:textAlignment w:val="bottom"/>
                    <w:rPr>
                      <w:rFonts w:hint="eastAsia" w:ascii="Times New Roman" w:hAnsi="Times New Roman" w:eastAsia="宋体" w:cs="Times New Roman"/>
                      <w:b w:val="0"/>
                      <w:bCs w:val="0"/>
                      <w:spacing w:val="0"/>
                      <w:sz w:val="21"/>
                      <w:szCs w:val="21"/>
                      <w:highlight w:val="none"/>
                      <w:lang w:eastAsia="zh-CN"/>
                    </w:rPr>
                  </w:pPr>
                  <w:r>
                    <w:rPr>
                      <w:rFonts w:hint="eastAsia" w:ascii="Times New Roman" w:hAnsi="Times New Roman" w:eastAsia="宋体" w:cs="Times New Roman"/>
                      <w:b w:val="0"/>
                      <w:bCs w:val="0"/>
                      <w:spacing w:val="0"/>
                      <w:sz w:val="21"/>
                      <w:szCs w:val="21"/>
                      <w:highlight w:val="none"/>
                      <w:lang w:eastAsia="zh-CN"/>
                    </w:rPr>
                    <w:t>环境噪声限值</w:t>
                  </w:r>
                </w:p>
              </w:tc>
            </w:tr>
            <w:tr w14:paraId="73004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8" w:type="pct"/>
                  <w:vMerge w:val="continue"/>
                  <w:noWrap w:val="0"/>
                  <w:vAlign w:val="center"/>
                </w:tcPr>
                <w:p w14:paraId="7E3606AB">
                  <w:pPr>
                    <w:autoSpaceDE w:val="0"/>
                    <w:autoSpaceDN w:val="0"/>
                    <w:spacing w:line="240" w:lineRule="auto"/>
                    <w:ind w:firstLine="0" w:firstLineChars="0"/>
                    <w:jc w:val="both"/>
                    <w:textAlignment w:val="bottom"/>
                    <w:rPr>
                      <w:rFonts w:hint="default" w:ascii="Times New Roman" w:hAnsi="Times New Roman" w:eastAsia="宋体" w:cs="Times New Roman"/>
                      <w:spacing w:val="0"/>
                      <w:sz w:val="21"/>
                      <w:szCs w:val="21"/>
                      <w:highlight w:val="none"/>
                      <w:lang w:val="en-US"/>
                    </w:rPr>
                  </w:pPr>
                </w:p>
              </w:tc>
              <w:tc>
                <w:tcPr>
                  <w:tcW w:w="1692" w:type="pct"/>
                  <w:noWrap w:val="0"/>
                  <w:vAlign w:val="center"/>
                </w:tcPr>
                <w:p w14:paraId="65C83068">
                  <w:pPr>
                    <w:autoSpaceDE w:val="0"/>
                    <w:autoSpaceDN w:val="0"/>
                    <w:spacing w:line="240" w:lineRule="auto"/>
                    <w:ind w:firstLine="0" w:firstLineChars="0"/>
                    <w:jc w:val="center"/>
                    <w:textAlignment w:val="bottom"/>
                    <w:rPr>
                      <w:rFonts w:hint="eastAsia"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spacing w:val="0"/>
                      <w:sz w:val="21"/>
                      <w:szCs w:val="21"/>
                      <w:highlight w:val="none"/>
                      <w:lang w:val="en-US" w:eastAsia="zh-CN"/>
                    </w:rPr>
                    <w:t>昼间</w:t>
                  </w:r>
                </w:p>
              </w:tc>
              <w:tc>
                <w:tcPr>
                  <w:tcW w:w="1789" w:type="pct"/>
                  <w:noWrap w:val="0"/>
                  <w:vAlign w:val="center"/>
                </w:tcPr>
                <w:p w14:paraId="0DFA0094">
                  <w:pPr>
                    <w:autoSpaceDE w:val="0"/>
                    <w:autoSpaceDN w:val="0"/>
                    <w:spacing w:line="240" w:lineRule="auto"/>
                    <w:ind w:firstLine="0" w:firstLineChars="0"/>
                    <w:jc w:val="center"/>
                    <w:textAlignment w:val="bottom"/>
                    <w:rPr>
                      <w:rFonts w:hint="eastAsia"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spacing w:val="0"/>
                      <w:sz w:val="21"/>
                      <w:szCs w:val="21"/>
                      <w:highlight w:val="none"/>
                      <w:lang w:val="en-US" w:eastAsia="zh-CN"/>
                    </w:rPr>
                    <w:t>夜间</w:t>
                  </w:r>
                </w:p>
              </w:tc>
            </w:tr>
            <w:tr w14:paraId="57B12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8" w:type="pct"/>
                  <w:noWrap w:val="0"/>
                  <w:vAlign w:val="center"/>
                </w:tcPr>
                <w:p w14:paraId="3CD2FF2E">
                  <w:pPr>
                    <w:autoSpaceDE w:val="0"/>
                    <w:autoSpaceDN w:val="0"/>
                    <w:spacing w:line="240" w:lineRule="auto"/>
                    <w:ind w:firstLine="0" w:firstLineChars="0"/>
                    <w:jc w:val="center"/>
                    <w:textAlignment w:val="bottom"/>
                    <w:rPr>
                      <w:rFonts w:hint="eastAsia"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spacing w:val="0"/>
                      <w:sz w:val="21"/>
                      <w:szCs w:val="21"/>
                      <w:highlight w:val="none"/>
                      <w:lang w:val="en-US" w:eastAsia="zh-CN"/>
                    </w:rPr>
                    <w:t>3</w:t>
                  </w:r>
                  <w:r>
                    <w:rPr>
                      <w:rFonts w:hint="eastAsia" w:cs="Times New Roman"/>
                      <w:spacing w:val="0"/>
                      <w:sz w:val="21"/>
                      <w:szCs w:val="21"/>
                      <w:highlight w:val="none"/>
                      <w:lang w:val="en-US" w:eastAsia="zh-CN"/>
                    </w:rPr>
                    <w:t>类</w:t>
                  </w:r>
                </w:p>
              </w:tc>
              <w:tc>
                <w:tcPr>
                  <w:tcW w:w="1692" w:type="pct"/>
                  <w:noWrap w:val="0"/>
                  <w:vAlign w:val="center"/>
                </w:tcPr>
                <w:p w14:paraId="72C0DEAE">
                  <w:pPr>
                    <w:autoSpaceDE w:val="0"/>
                    <w:autoSpaceDN w:val="0"/>
                    <w:spacing w:line="240" w:lineRule="auto"/>
                    <w:ind w:firstLine="0" w:firstLineChars="0"/>
                    <w:jc w:val="center"/>
                    <w:textAlignment w:val="bottom"/>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spacing w:val="0"/>
                      <w:sz w:val="21"/>
                      <w:szCs w:val="21"/>
                      <w:highlight w:val="none"/>
                      <w:lang w:val="en-US" w:eastAsia="zh-CN"/>
                    </w:rPr>
                    <w:t>6</w:t>
                  </w:r>
                  <w:r>
                    <w:rPr>
                      <w:rFonts w:hint="eastAsia" w:cs="Times New Roman"/>
                      <w:spacing w:val="0"/>
                      <w:sz w:val="21"/>
                      <w:szCs w:val="21"/>
                      <w:highlight w:val="none"/>
                      <w:lang w:val="en-US" w:eastAsia="zh-CN"/>
                    </w:rPr>
                    <w:t>5</w:t>
                  </w:r>
                </w:p>
              </w:tc>
              <w:tc>
                <w:tcPr>
                  <w:tcW w:w="1789" w:type="pct"/>
                  <w:noWrap w:val="0"/>
                  <w:vAlign w:val="center"/>
                </w:tcPr>
                <w:p w14:paraId="0AA1F62E">
                  <w:pPr>
                    <w:autoSpaceDE w:val="0"/>
                    <w:autoSpaceDN w:val="0"/>
                    <w:spacing w:line="240" w:lineRule="auto"/>
                    <w:ind w:firstLine="0" w:firstLineChars="0"/>
                    <w:jc w:val="center"/>
                    <w:textAlignment w:val="bottom"/>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spacing w:val="0"/>
                      <w:sz w:val="21"/>
                      <w:szCs w:val="21"/>
                      <w:highlight w:val="none"/>
                      <w:lang w:val="en-US" w:eastAsia="zh-CN"/>
                    </w:rPr>
                    <w:t>5</w:t>
                  </w:r>
                  <w:r>
                    <w:rPr>
                      <w:rFonts w:hint="eastAsia" w:cs="Times New Roman"/>
                      <w:spacing w:val="0"/>
                      <w:sz w:val="21"/>
                      <w:szCs w:val="21"/>
                      <w:highlight w:val="none"/>
                      <w:lang w:val="en-US" w:eastAsia="zh-CN"/>
                    </w:rPr>
                    <w:t>5</w:t>
                  </w:r>
                </w:p>
              </w:tc>
            </w:tr>
          </w:tbl>
          <w:p w14:paraId="7347D927">
            <w:pPr>
              <w:pStyle w:val="54"/>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8" w:firstLineChars="200"/>
              <w:textAlignment w:val="auto"/>
              <w:outlineLvl w:val="9"/>
              <w:rPr>
                <w:rFonts w:hint="default" w:ascii="Times New Roman" w:hAnsi="Times New Roman" w:eastAsia="宋体" w:cs="Times New Roman"/>
                <w:b w:val="0"/>
                <w:bCs w:val="0"/>
                <w:color w:val="000000"/>
                <w:spacing w:val="2"/>
                <w:kern w:val="2"/>
                <w:sz w:val="24"/>
                <w:szCs w:val="24"/>
                <w:highlight w:val="none"/>
                <w:lang w:val="en-US" w:eastAsia="zh-CN" w:bidi="ar-SA"/>
              </w:rPr>
            </w:pPr>
            <w:r>
              <w:rPr>
                <w:rFonts w:hint="eastAsia" w:ascii="Times New Roman" w:hAnsi="Times New Roman" w:eastAsia="宋体" w:cs="Times New Roman"/>
                <w:b w:val="0"/>
                <w:bCs w:val="0"/>
                <w:color w:val="000000"/>
                <w:spacing w:val="2"/>
                <w:kern w:val="2"/>
                <w:sz w:val="24"/>
                <w:szCs w:val="24"/>
                <w:highlight w:val="none"/>
                <w:lang w:val="en-US" w:eastAsia="zh-CN" w:bidi="ar-SA"/>
              </w:rPr>
              <w:t>根据</w:t>
            </w:r>
            <w:r>
              <w:rPr>
                <w:rFonts w:hint="eastAsia" w:ascii="Times New Roman" w:hAnsi="Times New Roman" w:cs="Times New Roman"/>
                <w:b w:val="0"/>
                <w:bCs w:val="0"/>
                <w:color w:val="000000"/>
                <w:spacing w:val="2"/>
                <w:kern w:val="2"/>
                <w:sz w:val="24"/>
                <w:szCs w:val="24"/>
                <w:highlight w:val="none"/>
                <w:lang w:val="en-US" w:eastAsia="zh-CN" w:bidi="ar-SA"/>
              </w:rPr>
              <w:t>现有项目验收监测结果，厂区四周的昼间厂界噪声56~61dB，符合GB12348-2008《工业企业厂界环境噪声排放标准》3类标准。</w:t>
            </w:r>
          </w:p>
          <w:p w14:paraId="6AA5D74A">
            <w:pPr>
              <w:pStyle w:val="54"/>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b/>
                <w:bCs w:val="0"/>
                <w:color w:val="000000"/>
                <w:kern w:val="2"/>
                <w:sz w:val="28"/>
                <w:szCs w:val="28"/>
                <w:highlight w:val="none"/>
                <w:lang w:val="en-US" w:eastAsia="zh-CN" w:bidi="ar-SA"/>
              </w:rPr>
            </w:pPr>
            <w:r>
              <w:rPr>
                <w:rFonts w:hint="default" w:ascii="Times New Roman" w:hAnsi="Times New Roman" w:eastAsia="宋体" w:cs="Times New Roman"/>
                <w:b/>
                <w:bCs w:val="0"/>
                <w:color w:val="000000"/>
                <w:kern w:val="2"/>
                <w:sz w:val="28"/>
                <w:szCs w:val="28"/>
                <w:highlight w:val="none"/>
                <w:lang w:val="en-US" w:eastAsia="zh-CN" w:bidi="ar-SA"/>
              </w:rPr>
              <w:t>3.</w:t>
            </w:r>
            <w:r>
              <w:rPr>
                <w:rFonts w:hint="eastAsia" w:ascii="Times New Roman" w:hAnsi="Times New Roman" w:eastAsia="宋体" w:cs="Times New Roman"/>
                <w:b/>
                <w:bCs w:val="0"/>
                <w:color w:val="000000"/>
                <w:kern w:val="2"/>
                <w:sz w:val="28"/>
                <w:szCs w:val="28"/>
                <w:highlight w:val="none"/>
                <w:lang w:val="en-US" w:eastAsia="zh-CN" w:bidi="ar-SA"/>
              </w:rPr>
              <w:t>4生态</w:t>
            </w:r>
            <w:r>
              <w:rPr>
                <w:rFonts w:hint="default" w:ascii="Times New Roman" w:hAnsi="Times New Roman" w:eastAsia="宋体" w:cs="Times New Roman"/>
                <w:b/>
                <w:bCs w:val="0"/>
                <w:color w:val="000000"/>
                <w:kern w:val="2"/>
                <w:sz w:val="28"/>
                <w:szCs w:val="28"/>
                <w:highlight w:val="none"/>
                <w:lang w:val="en-US" w:eastAsia="zh-CN" w:bidi="ar-SA"/>
              </w:rPr>
              <w:t>环境</w:t>
            </w:r>
          </w:p>
          <w:p w14:paraId="18E50F11">
            <w:pPr>
              <w:pStyle w:val="11"/>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b w:val="0"/>
                <w:bCs w:val="0"/>
                <w:color w:val="000000"/>
                <w:spacing w:val="2"/>
                <w:kern w:val="2"/>
                <w:sz w:val="24"/>
                <w:highlight w:val="none"/>
                <w:lang w:eastAsia="zh-CN"/>
              </w:rPr>
            </w:pPr>
            <w:r>
              <w:rPr>
                <w:rFonts w:hint="default" w:ascii="Times New Roman" w:hAnsi="Times New Roman" w:eastAsia="宋体" w:cs="Times New Roman"/>
                <w:b w:val="0"/>
                <w:bCs w:val="0"/>
                <w:color w:val="000000"/>
                <w:spacing w:val="2"/>
                <w:kern w:val="2"/>
                <w:sz w:val="24"/>
                <w:highlight w:val="none"/>
                <w:lang w:eastAsia="zh-CN"/>
              </w:rPr>
              <w:t>本项目利用已有用地和厂房进行生产，不涉及新增用地。项目位于</w:t>
            </w:r>
            <w:r>
              <w:rPr>
                <w:rFonts w:hint="eastAsia" w:cs="Times New Roman"/>
                <w:color w:val="000000"/>
                <w:kern w:val="0"/>
                <w:sz w:val="24"/>
                <w:szCs w:val="24"/>
                <w:highlight w:val="none"/>
                <w:lang w:val="en-US" w:eastAsia="zh-CN" w:bidi="ar-SA"/>
              </w:rPr>
              <w:t>福建省泉州市鲤城区紫安路1号</w:t>
            </w:r>
            <w:r>
              <w:rPr>
                <w:rFonts w:hint="default" w:ascii="Times New Roman" w:hAnsi="Times New Roman" w:eastAsia="宋体" w:cs="Times New Roman"/>
                <w:b w:val="0"/>
                <w:bCs w:val="0"/>
                <w:color w:val="000000"/>
                <w:spacing w:val="2"/>
                <w:kern w:val="2"/>
                <w:sz w:val="24"/>
                <w:highlight w:val="none"/>
                <w:lang w:eastAsia="zh-CN"/>
              </w:rPr>
              <w:t>，用地范围内及周围均不含有生态环境保护目标，无需进行生态现状调查。</w:t>
            </w:r>
          </w:p>
          <w:p w14:paraId="08B3662B">
            <w:pPr>
              <w:pStyle w:val="54"/>
              <w:keepNext w:val="0"/>
              <w:keepLines w:val="0"/>
              <w:pageBreakBefore w:val="0"/>
              <w:widowControl w:val="0"/>
              <w:kinsoku/>
              <w:wordWrap/>
              <w:overflowPunct/>
              <w:topLinePunct w:val="0"/>
              <w:autoSpaceDE/>
              <w:autoSpaceDN/>
              <w:bidi w:val="0"/>
              <w:adjustRightInd w:val="0"/>
              <w:snapToGrid w:val="0"/>
              <w:spacing w:beforeLines="0" w:line="360" w:lineRule="auto"/>
              <w:ind w:firstLine="0" w:firstLineChars="0"/>
              <w:textAlignment w:val="auto"/>
              <w:outlineLvl w:val="9"/>
              <w:rPr>
                <w:rFonts w:hint="default" w:ascii="Times New Roman" w:hAnsi="Times New Roman" w:eastAsia="宋体" w:cs="Times New Roman"/>
                <w:b/>
                <w:bCs w:val="0"/>
                <w:color w:val="000000"/>
                <w:kern w:val="2"/>
                <w:sz w:val="28"/>
                <w:szCs w:val="28"/>
                <w:highlight w:val="none"/>
                <w:lang w:val="en-US" w:eastAsia="zh-CN" w:bidi="ar-SA"/>
              </w:rPr>
            </w:pPr>
            <w:r>
              <w:rPr>
                <w:rFonts w:hint="default" w:ascii="Times New Roman" w:hAnsi="Times New Roman" w:eastAsia="宋体" w:cs="Times New Roman"/>
                <w:b/>
                <w:bCs w:val="0"/>
                <w:color w:val="000000"/>
                <w:kern w:val="2"/>
                <w:sz w:val="28"/>
                <w:szCs w:val="28"/>
                <w:highlight w:val="none"/>
                <w:lang w:val="en-US" w:eastAsia="zh-CN" w:bidi="ar-SA"/>
              </w:rPr>
              <w:t>3.</w:t>
            </w:r>
            <w:r>
              <w:rPr>
                <w:rFonts w:hint="eastAsia" w:ascii="Times New Roman" w:hAnsi="Times New Roman" w:eastAsia="宋体" w:cs="Times New Roman"/>
                <w:b/>
                <w:bCs w:val="0"/>
                <w:color w:val="000000"/>
                <w:kern w:val="2"/>
                <w:sz w:val="28"/>
                <w:szCs w:val="28"/>
                <w:highlight w:val="none"/>
                <w:lang w:val="en-US" w:eastAsia="zh-CN" w:bidi="ar-SA"/>
              </w:rPr>
              <w:t>5地下水、土壤</w:t>
            </w:r>
            <w:r>
              <w:rPr>
                <w:rFonts w:hint="default" w:ascii="Times New Roman" w:hAnsi="Times New Roman" w:eastAsia="宋体" w:cs="Times New Roman"/>
                <w:b/>
                <w:bCs w:val="0"/>
                <w:color w:val="000000"/>
                <w:kern w:val="2"/>
                <w:sz w:val="28"/>
                <w:szCs w:val="28"/>
                <w:highlight w:val="none"/>
                <w:lang w:val="en-US" w:eastAsia="zh-CN" w:bidi="ar-SA"/>
              </w:rPr>
              <w:t>环境</w:t>
            </w:r>
          </w:p>
          <w:p w14:paraId="37D9258A">
            <w:pPr>
              <w:keepNext w:val="0"/>
              <w:keepLines w:val="0"/>
              <w:pageBreakBefore w:val="0"/>
              <w:widowControl w:val="0"/>
              <w:kinsoku/>
              <w:wordWrap/>
              <w:overflowPunct/>
              <w:topLinePunct w:val="0"/>
              <w:autoSpaceDE/>
              <w:autoSpaceDN/>
              <w:bidi w:val="0"/>
              <w:adjustRightInd/>
              <w:snapToGrid/>
              <w:spacing w:before="0" w:beforeLines="0" w:line="360" w:lineRule="auto"/>
              <w:ind w:firstLine="488" w:firstLineChars="200"/>
              <w:textAlignment w:val="auto"/>
              <w:rPr>
                <w:rFonts w:hint="default" w:ascii="Times New Roman" w:hAnsi="Times New Roman" w:eastAsia="宋体" w:cs="Times New Roman"/>
                <w:color w:val="000000"/>
                <w:spacing w:val="2"/>
                <w:kern w:val="2"/>
                <w:sz w:val="24"/>
                <w:highlight w:val="none"/>
                <w:lang w:eastAsia="zh-CN"/>
              </w:rPr>
            </w:pPr>
            <w:r>
              <w:rPr>
                <w:rFonts w:hint="default" w:ascii="Times New Roman" w:hAnsi="Times New Roman" w:eastAsia="宋体" w:cs="Times New Roman"/>
                <w:color w:val="000000"/>
                <w:spacing w:val="2"/>
                <w:kern w:val="2"/>
                <w:sz w:val="24"/>
                <w:highlight w:val="none"/>
                <w:lang w:eastAsia="zh-CN"/>
              </w:rPr>
              <w:t>项目主要从事</w:t>
            </w:r>
            <w:r>
              <w:rPr>
                <w:rFonts w:hint="eastAsia" w:ascii="Times New Roman" w:hAnsi="Times New Roman" w:eastAsia="宋体" w:cs="Times New Roman"/>
                <w:color w:val="000000"/>
                <w:spacing w:val="2"/>
                <w:kern w:val="2"/>
                <w:sz w:val="24"/>
                <w:highlight w:val="none"/>
                <w:lang w:eastAsia="zh-CN"/>
              </w:rPr>
              <w:t>布料的丝印加工</w:t>
            </w:r>
            <w:r>
              <w:rPr>
                <w:rFonts w:hint="default" w:ascii="Times New Roman" w:hAnsi="Times New Roman" w:eastAsia="宋体" w:cs="Times New Roman"/>
                <w:color w:val="000000"/>
                <w:spacing w:val="2"/>
                <w:kern w:val="2"/>
                <w:sz w:val="24"/>
                <w:highlight w:val="none"/>
                <w:lang w:eastAsia="zh-CN"/>
              </w:rPr>
              <w:t>，根据项目生产及建设情况，项目生产车间及一般固废暂存区地面均设置水泥硬化，原辅材料和成品储存在规范的仓储区，项目生产均在密闭的建设厂房内。危废暂存间设置在</w:t>
            </w:r>
            <w:r>
              <w:rPr>
                <w:rFonts w:hint="eastAsia" w:ascii="Times New Roman" w:hAnsi="Times New Roman" w:eastAsia="宋体" w:cs="Times New Roman"/>
                <w:color w:val="000000"/>
                <w:spacing w:val="2"/>
                <w:kern w:val="2"/>
                <w:sz w:val="24"/>
                <w:highlight w:val="none"/>
                <w:lang w:val="en-US" w:eastAsia="zh-CN"/>
              </w:rPr>
              <w:t>1</w:t>
            </w:r>
            <w:r>
              <w:rPr>
                <w:rFonts w:hint="default" w:ascii="Times New Roman" w:hAnsi="Times New Roman" w:eastAsia="宋体" w:cs="Times New Roman"/>
                <w:color w:val="000000"/>
                <w:spacing w:val="2"/>
                <w:kern w:val="2"/>
                <w:sz w:val="24"/>
                <w:highlight w:val="none"/>
                <w:lang w:eastAsia="zh-CN"/>
              </w:rPr>
              <w:t>F，做好防渗、围堰等措施，正常情况下不会出现降水入渗或原料泄漏，一般不会出现地下水、土壤环境污染。项目在生产运营期间，加强车间管理，对员工进行培训，确保生产过程中不会发生物料泄漏，若发生地面破裂应及时更换或修补。通过采取上述措施，本项目建设对周边地下水、土壤环境基本没有影响，项目不存在土壤、地下水环境污染途径，因此不开展土壤、地下水环境质量现状调查。</w:t>
            </w:r>
          </w:p>
          <w:p w14:paraId="6393707C">
            <w:pPr>
              <w:pStyle w:val="2"/>
              <w:rPr>
                <w:rFonts w:hint="default"/>
                <w:lang w:eastAsia="zh-CN"/>
              </w:rPr>
            </w:pPr>
          </w:p>
          <w:p w14:paraId="2D01755C">
            <w:pPr>
              <w:keepNext w:val="0"/>
              <w:keepLines w:val="0"/>
              <w:pageBreakBefore w:val="0"/>
              <w:widowControl/>
              <w:kinsoku/>
              <w:wordWrap/>
              <w:overflowPunct/>
              <w:topLinePunct w:val="0"/>
              <w:autoSpaceDE/>
              <w:autoSpaceDN/>
              <w:bidi w:val="0"/>
              <w:adjustRightInd/>
              <w:snapToGrid/>
              <w:spacing w:before="0" w:line="240" w:lineRule="auto"/>
              <w:ind w:firstLine="0" w:firstLineChars="0"/>
              <w:jc w:val="left"/>
              <w:textAlignment w:val="auto"/>
              <w:rPr>
                <w:rFonts w:hint="default" w:ascii="Times New Roman" w:hAnsi="Times New Roman" w:eastAsia="宋体" w:cs="Times New Roman"/>
                <w:kern w:val="2"/>
                <w:sz w:val="21"/>
                <w:szCs w:val="24"/>
                <w:highlight w:val="none"/>
                <w:lang w:val="en-US" w:eastAsia="zh-CN"/>
              </w:rPr>
            </w:pPr>
          </w:p>
        </w:tc>
      </w:tr>
      <w:tr w14:paraId="53BD04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54" w:type="dxa"/>
            <w:noWrap w:val="0"/>
            <w:vAlign w:val="center"/>
          </w:tcPr>
          <w:p w14:paraId="0F5E6D84">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65CA4847">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14:paraId="07E7EB03">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063" w:type="dxa"/>
            <w:noWrap w:val="0"/>
            <w:vAlign w:val="center"/>
          </w:tcPr>
          <w:p w14:paraId="657BCAC8">
            <w:pPr>
              <w:pStyle w:val="54"/>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outlineLvl w:val="2"/>
              <w:rPr>
                <w:rFonts w:hint="default" w:ascii="Times New Roman" w:hAnsi="Times New Roman" w:eastAsia="宋体" w:cs="Times New Roman"/>
                <w:b/>
                <w:bCs w:val="0"/>
                <w:color w:val="auto"/>
                <w:kern w:val="2"/>
                <w:sz w:val="28"/>
                <w:szCs w:val="28"/>
                <w:highlight w:val="none"/>
                <w:lang w:val="en-US" w:eastAsia="zh-CN" w:bidi="ar-SA"/>
              </w:rPr>
            </w:pPr>
            <w:r>
              <w:rPr>
                <w:rFonts w:hint="default" w:ascii="Times New Roman" w:hAnsi="Times New Roman" w:eastAsia="宋体" w:cs="Times New Roman"/>
                <w:b/>
                <w:bCs w:val="0"/>
                <w:color w:val="auto"/>
                <w:kern w:val="2"/>
                <w:sz w:val="28"/>
                <w:szCs w:val="28"/>
                <w:highlight w:val="none"/>
                <w:lang w:val="en-US" w:eastAsia="zh-CN" w:bidi="ar-SA"/>
              </w:rPr>
              <w:t>3.</w:t>
            </w:r>
            <w:r>
              <w:rPr>
                <w:rFonts w:hint="eastAsia" w:ascii="Times New Roman" w:hAnsi="Times New Roman" w:eastAsia="宋体" w:cs="Times New Roman"/>
                <w:b/>
                <w:bCs w:val="0"/>
                <w:color w:val="auto"/>
                <w:kern w:val="2"/>
                <w:sz w:val="28"/>
                <w:szCs w:val="28"/>
                <w:highlight w:val="none"/>
                <w:lang w:val="en-US" w:eastAsia="zh-CN" w:bidi="ar-SA"/>
              </w:rPr>
              <w:t>6</w:t>
            </w:r>
            <w:r>
              <w:rPr>
                <w:rFonts w:hint="default" w:ascii="Times New Roman" w:hAnsi="Times New Roman" w:eastAsia="宋体" w:cs="Times New Roman"/>
                <w:b/>
                <w:bCs w:val="0"/>
                <w:color w:val="auto"/>
                <w:kern w:val="2"/>
                <w:sz w:val="28"/>
                <w:szCs w:val="28"/>
                <w:highlight w:val="none"/>
                <w:lang w:val="en-US" w:eastAsia="zh-CN" w:bidi="ar-SA"/>
              </w:rPr>
              <w:t>主要环境保护目标</w:t>
            </w:r>
          </w:p>
          <w:p w14:paraId="5B583435">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项目位于</w:t>
            </w:r>
            <w:r>
              <w:rPr>
                <w:rFonts w:hint="eastAsia" w:cs="Times New Roman"/>
                <w:color w:val="000000"/>
                <w:kern w:val="0"/>
                <w:sz w:val="24"/>
                <w:szCs w:val="24"/>
                <w:highlight w:val="none"/>
                <w:lang w:val="en-US" w:eastAsia="zh-CN" w:bidi="ar-SA"/>
              </w:rPr>
              <w:t>福建省泉州市鲤城区紫安路1号</w:t>
            </w:r>
            <w:r>
              <w:rPr>
                <w:rFonts w:hint="default" w:ascii="Times New Roman" w:hAnsi="Times New Roman" w:eastAsia="宋体" w:cs="Times New Roman"/>
                <w:color w:val="auto"/>
                <w:sz w:val="24"/>
                <w:highlight w:val="none"/>
              </w:rPr>
              <w:t>，项目周边</w:t>
            </w:r>
            <w:r>
              <w:rPr>
                <w:rFonts w:hint="default" w:ascii="Times New Roman" w:hAnsi="Times New Roman" w:eastAsia="宋体" w:cs="Times New Roman"/>
                <w:color w:val="auto"/>
                <w:sz w:val="24"/>
                <w:highlight w:val="none"/>
                <w:lang w:val="en-US" w:eastAsia="zh-CN"/>
              </w:rPr>
              <w:t>环境保护</w:t>
            </w:r>
            <w:r>
              <w:rPr>
                <w:rFonts w:hint="default" w:ascii="Times New Roman" w:hAnsi="Times New Roman" w:eastAsia="宋体" w:cs="Times New Roman"/>
                <w:color w:val="auto"/>
                <w:sz w:val="24"/>
                <w:highlight w:val="none"/>
              </w:rPr>
              <w:t>目标示意图见</w:t>
            </w:r>
            <w:r>
              <w:rPr>
                <w:rFonts w:hint="default" w:ascii="Times New Roman" w:hAnsi="Times New Roman" w:eastAsia="宋体" w:cs="Times New Roman"/>
                <w:bCs/>
                <w:color w:val="auto"/>
                <w:sz w:val="24"/>
                <w:highlight w:val="none"/>
              </w:rPr>
              <w:t>附图</w:t>
            </w:r>
            <w:r>
              <w:rPr>
                <w:rFonts w:hint="eastAsia" w:cs="Times New Roman"/>
                <w:bCs/>
                <w:color w:val="auto"/>
                <w:sz w:val="24"/>
                <w:highlight w:val="none"/>
                <w:lang w:val="en-US" w:eastAsia="zh-CN"/>
              </w:rPr>
              <w:t>4</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项目周围主要环境保护目标见</w:t>
            </w:r>
            <w:r>
              <w:rPr>
                <w:rFonts w:hint="default" w:ascii="Times New Roman" w:hAnsi="Times New Roman" w:eastAsia="宋体" w:cs="Times New Roman"/>
                <w:color w:val="auto"/>
                <w:sz w:val="24"/>
                <w:highlight w:val="none"/>
                <w:lang w:eastAsia="zh-CN"/>
              </w:rPr>
              <w:t>下</w:t>
            </w:r>
            <w:r>
              <w:rPr>
                <w:rFonts w:hint="default" w:ascii="Times New Roman" w:hAnsi="Times New Roman" w:eastAsia="宋体" w:cs="Times New Roman"/>
                <w:color w:val="auto"/>
                <w:sz w:val="24"/>
                <w:highlight w:val="none"/>
              </w:rPr>
              <w:t>表。</w:t>
            </w:r>
          </w:p>
          <w:p w14:paraId="5C063516">
            <w:pPr>
              <w:widowControl/>
              <w:tabs>
                <w:tab w:val="left" w:pos="911"/>
              </w:tabs>
              <w:jc w:val="center"/>
              <w:rPr>
                <w:b/>
                <w:bCs/>
                <w:sz w:val="24"/>
                <w:szCs w:val="24"/>
                <w:highlight w:val="none"/>
                <w:lang w:bidi="ar"/>
              </w:rPr>
            </w:pPr>
          </w:p>
          <w:p w14:paraId="532DA164">
            <w:pPr>
              <w:widowControl/>
              <w:tabs>
                <w:tab w:val="left" w:pos="911"/>
              </w:tabs>
              <w:jc w:val="center"/>
              <w:rPr>
                <w:rFonts w:hint="eastAsia"/>
                <w:b/>
                <w:bCs/>
                <w:sz w:val="24"/>
                <w:szCs w:val="24"/>
                <w:highlight w:val="none"/>
                <w:lang w:bidi="ar"/>
              </w:rPr>
            </w:pPr>
            <w:r>
              <w:rPr>
                <w:b/>
                <w:bCs/>
                <w:sz w:val="24"/>
                <w:szCs w:val="24"/>
                <w:highlight w:val="none"/>
                <w:lang w:bidi="ar"/>
              </w:rPr>
              <w:t>表3-</w:t>
            </w:r>
            <w:r>
              <w:rPr>
                <w:rFonts w:hint="eastAsia"/>
                <w:b/>
                <w:bCs/>
                <w:sz w:val="24"/>
                <w:szCs w:val="24"/>
                <w:highlight w:val="none"/>
                <w:lang w:val="en-US" w:eastAsia="zh-CN" w:bidi="ar"/>
              </w:rPr>
              <w:t>5</w:t>
            </w:r>
            <w:r>
              <w:rPr>
                <w:rFonts w:hint="eastAsia"/>
                <w:b/>
                <w:bCs/>
                <w:sz w:val="24"/>
                <w:szCs w:val="24"/>
                <w:highlight w:val="none"/>
                <w:lang w:bidi="ar"/>
              </w:rPr>
              <w:t>主要环境保护目标一览表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487"/>
              <w:gridCol w:w="1341"/>
              <w:gridCol w:w="1001"/>
              <w:gridCol w:w="1202"/>
              <w:gridCol w:w="1076"/>
              <w:gridCol w:w="572"/>
              <w:gridCol w:w="693"/>
              <w:gridCol w:w="1470"/>
            </w:tblGrid>
            <w:tr w14:paraId="08A53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675" w:hRule="atLeast"/>
                <w:jc w:val="center"/>
              </w:trPr>
              <w:tc>
                <w:tcPr>
                  <w:tcW w:w="310" w:type="pct"/>
                  <w:vMerge w:val="restart"/>
                  <w:tcBorders>
                    <w:left w:val="nil"/>
                  </w:tcBorders>
                  <w:noWrap w:val="0"/>
                  <w:vAlign w:val="center"/>
                </w:tcPr>
                <w:p w14:paraId="1401020B">
                  <w:pPr>
                    <w:adjustRightInd w:val="0"/>
                    <w:snapToGrid w:val="0"/>
                    <w:jc w:val="center"/>
                    <w:rPr>
                      <w:rFonts w:hint="eastAsia"/>
                      <w:bCs/>
                      <w:sz w:val="21"/>
                      <w:szCs w:val="21"/>
                      <w:highlight w:val="none"/>
                    </w:rPr>
                  </w:pPr>
                  <w:r>
                    <w:rPr>
                      <w:rFonts w:hint="eastAsia"/>
                      <w:bCs/>
                      <w:sz w:val="21"/>
                      <w:szCs w:val="21"/>
                      <w:highlight w:val="none"/>
                    </w:rPr>
                    <w:t>序号</w:t>
                  </w:r>
                </w:p>
              </w:tc>
              <w:tc>
                <w:tcPr>
                  <w:tcW w:w="855" w:type="pct"/>
                  <w:vMerge w:val="restart"/>
                  <w:tcBorders>
                    <w:left w:val="nil"/>
                  </w:tcBorders>
                  <w:noWrap w:val="0"/>
                  <w:vAlign w:val="center"/>
                </w:tcPr>
                <w:p w14:paraId="1D630EA9">
                  <w:pPr>
                    <w:adjustRightInd w:val="0"/>
                    <w:snapToGrid w:val="0"/>
                    <w:jc w:val="center"/>
                    <w:rPr>
                      <w:bCs/>
                      <w:sz w:val="21"/>
                      <w:szCs w:val="21"/>
                      <w:highlight w:val="none"/>
                    </w:rPr>
                  </w:pPr>
                  <w:r>
                    <w:rPr>
                      <w:bCs/>
                      <w:sz w:val="21"/>
                      <w:szCs w:val="21"/>
                      <w:highlight w:val="none"/>
                    </w:rPr>
                    <w:t>环境要素</w:t>
                  </w:r>
                </w:p>
              </w:tc>
              <w:tc>
                <w:tcPr>
                  <w:tcW w:w="638" w:type="pct"/>
                  <w:vMerge w:val="restart"/>
                  <w:noWrap w:val="0"/>
                  <w:vAlign w:val="center"/>
                </w:tcPr>
                <w:p w14:paraId="0D138190">
                  <w:pPr>
                    <w:adjustRightInd w:val="0"/>
                    <w:snapToGrid w:val="0"/>
                    <w:jc w:val="center"/>
                    <w:rPr>
                      <w:bCs/>
                      <w:sz w:val="21"/>
                      <w:szCs w:val="21"/>
                      <w:highlight w:val="none"/>
                    </w:rPr>
                  </w:pPr>
                  <w:r>
                    <w:rPr>
                      <w:bCs/>
                      <w:sz w:val="21"/>
                      <w:szCs w:val="21"/>
                      <w:highlight w:val="none"/>
                    </w:rPr>
                    <w:t>保护目标</w:t>
                  </w:r>
                </w:p>
              </w:tc>
              <w:tc>
                <w:tcPr>
                  <w:tcW w:w="1452" w:type="pct"/>
                  <w:gridSpan w:val="2"/>
                  <w:tcBorders>
                    <w:right w:val="nil"/>
                  </w:tcBorders>
                  <w:noWrap w:val="0"/>
                  <w:vAlign w:val="center"/>
                </w:tcPr>
                <w:p w14:paraId="186F5C68">
                  <w:pPr>
                    <w:adjustRightInd w:val="0"/>
                    <w:snapToGrid w:val="0"/>
                    <w:jc w:val="center"/>
                    <w:rPr>
                      <w:rFonts w:hint="eastAsia"/>
                      <w:bCs/>
                      <w:sz w:val="21"/>
                      <w:szCs w:val="21"/>
                      <w:highlight w:val="none"/>
                    </w:rPr>
                  </w:pPr>
                  <w:r>
                    <w:rPr>
                      <w:rFonts w:hint="eastAsia"/>
                      <w:bCs/>
                      <w:sz w:val="21"/>
                      <w:szCs w:val="21"/>
                      <w:highlight w:val="none"/>
                      <w:lang w:val="en-US" w:eastAsia="zh-CN"/>
                    </w:rPr>
                    <w:t>UTM坐标/m</w:t>
                  </w:r>
                </w:p>
              </w:tc>
              <w:tc>
                <w:tcPr>
                  <w:tcW w:w="364" w:type="pct"/>
                  <w:vMerge w:val="restart"/>
                  <w:tcBorders>
                    <w:right w:val="nil"/>
                  </w:tcBorders>
                  <w:noWrap w:val="0"/>
                  <w:vAlign w:val="center"/>
                </w:tcPr>
                <w:p w14:paraId="5F23AE84">
                  <w:pPr>
                    <w:adjustRightInd w:val="0"/>
                    <w:snapToGrid w:val="0"/>
                    <w:jc w:val="center"/>
                    <w:rPr>
                      <w:rFonts w:hint="eastAsia"/>
                      <w:bCs/>
                      <w:sz w:val="21"/>
                      <w:szCs w:val="21"/>
                      <w:highlight w:val="none"/>
                    </w:rPr>
                  </w:pPr>
                  <w:r>
                    <w:rPr>
                      <w:rFonts w:hint="eastAsia"/>
                      <w:bCs/>
                      <w:sz w:val="21"/>
                      <w:szCs w:val="21"/>
                      <w:highlight w:val="none"/>
                    </w:rPr>
                    <w:t>相对项目厂区方位</w:t>
                  </w:r>
                </w:p>
              </w:tc>
              <w:tc>
                <w:tcPr>
                  <w:tcW w:w="441" w:type="pct"/>
                  <w:vMerge w:val="restart"/>
                  <w:tcBorders>
                    <w:right w:val="nil"/>
                  </w:tcBorders>
                  <w:noWrap w:val="0"/>
                  <w:vAlign w:val="center"/>
                </w:tcPr>
                <w:p w14:paraId="1DDC9EA1">
                  <w:pPr>
                    <w:adjustRightInd w:val="0"/>
                    <w:snapToGrid w:val="0"/>
                    <w:jc w:val="center"/>
                    <w:rPr>
                      <w:rFonts w:hint="eastAsia"/>
                      <w:bCs/>
                      <w:sz w:val="21"/>
                      <w:szCs w:val="21"/>
                      <w:highlight w:val="none"/>
                    </w:rPr>
                  </w:pPr>
                  <w:r>
                    <w:rPr>
                      <w:rFonts w:hint="eastAsia"/>
                      <w:bCs/>
                      <w:sz w:val="21"/>
                      <w:szCs w:val="21"/>
                      <w:highlight w:val="none"/>
                    </w:rPr>
                    <w:t>距离建设项目距离（m）</w:t>
                  </w:r>
                </w:p>
              </w:tc>
              <w:tc>
                <w:tcPr>
                  <w:tcW w:w="937" w:type="pct"/>
                  <w:vMerge w:val="restart"/>
                  <w:tcBorders>
                    <w:right w:val="nil"/>
                  </w:tcBorders>
                  <w:noWrap w:val="0"/>
                  <w:vAlign w:val="center"/>
                </w:tcPr>
                <w:p w14:paraId="118A1B92">
                  <w:pPr>
                    <w:adjustRightInd w:val="0"/>
                    <w:snapToGrid w:val="0"/>
                    <w:jc w:val="center"/>
                    <w:rPr>
                      <w:rFonts w:hint="eastAsia"/>
                      <w:bCs/>
                      <w:sz w:val="21"/>
                      <w:szCs w:val="21"/>
                      <w:highlight w:val="none"/>
                    </w:rPr>
                  </w:pPr>
                  <w:r>
                    <w:rPr>
                      <w:rFonts w:hint="eastAsia"/>
                      <w:bCs/>
                      <w:sz w:val="21"/>
                      <w:szCs w:val="21"/>
                      <w:highlight w:val="none"/>
                    </w:rPr>
                    <w:t>保护级别</w:t>
                  </w:r>
                </w:p>
              </w:tc>
            </w:tr>
            <w:tr w14:paraId="39394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675" w:hRule="atLeast"/>
                <w:jc w:val="center"/>
              </w:trPr>
              <w:tc>
                <w:tcPr>
                  <w:tcW w:w="310" w:type="pct"/>
                  <w:vMerge w:val="continue"/>
                  <w:tcBorders>
                    <w:left w:val="nil"/>
                  </w:tcBorders>
                  <w:noWrap w:val="0"/>
                  <w:vAlign w:val="center"/>
                </w:tcPr>
                <w:p w14:paraId="1DB795A9">
                  <w:pPr>
                    <w:adjustRightInd w:val="0"/>
                    <w:snapToGrid w:val="0"/>
                    <w:jc w:val="center"/>
                    <w:rPr>
                      <w:highlight w:val="none"/>
                    </w:rPr>
                  </w:pPr>
                </w:p>
              </w:tc>
              <w:tc>
                <w:tcPr>
                  <w:tcW w:w="855" w:type="pct"/>
                  <w:vMerge w:val="continue"/>
                  <w:tcBorders>
                    <w:left w:val="nil"/>
                  </w:tcBorders>
                  <w:noWrap w:val="0"/>
                  <w:vAlign w:val="center"/>
                </w:tcPr>
                <w:p w14:paraId="301C6953">
                  <w:pPr>
                    <w:adjustRightInd w:val="0"/>
                    <w:snapToGrid w:val="0"/>
                    <w:jc w:val="center"/>
                    <w:rPr>
                      <w:highlight w:val="none"/>
                    </w:rPr>
                  </w:pPr>
                </w:p>
              </w:tc>
              <w:tc>
                <w:tcPr>
                  <w:tcW w:w="638" w:type="pct"/>
                  <w:vMerge w:val="continue"/>
                  <w:noWrap w:val="0"/>
                  <w:vAlign w:val="center"/>
                </w:tcPr>
                <w:p w14:paraId="59F5867B">
                  <w:pPr>
                    <w:adjustRightInd w:val="0"/>
                    <w:snapToGrid w:val="0"/>
                    <w:jc w:val="center"/>
                    <w:rPr>
                      <w:highlight w:val="none"/>
                    </w:rPr>
                  </w:pPr>
                </w:p>
              </w:tc>
              <w:tc>
                <w:tcPr>
                  <w:tcW w:w="766" w:type="pct"/>
                  <w:tcBorders>
                    <w:right w:val="nil"/>
                  </w:tcBorders>
                  <w:noWrap w:val="0"/>
                  <w:vAlign w:val="center"/>
                </w:tcPr>
                <w:p w14:paraId="6C6A9E36">
                  <w:pPr>
                    <w:adjustRightInd w:val="0"/>
                    <w:snapToGrid w:val="0"/>
                    <w:jc w:val="center"/>
                    <w:rPr>
                      <w:rFonts w:hint="eastAsia" w:eastAsia="宋体"/>
                      <w:bCs/>
                      <w:sz w:val="21"/>
                      <w:szCs w:val="21"/>
                      <w:highlight w:val="none"/>
                      <w:lang w:val="en-US" w:eastAsia="zh-CN"/>
                    </w:rPr>
                  </w:pPr>
                  <w:r>
                    <w:rPr>
                      <w:rFonts w:hint="eastAsia"/>
                      <w:bCs/>
                      <w:sz w:val="21"/>
                      <w:szCs w:val="21"/>
                      <w:highlight w:val="none"/>
                      <w:lang w:val="en-US" w:eastAsia="zh-CN"/>
                    </w:rPr>
                    <w:t>X</w:t>
                  </w:r>
                </w:p>
              </w:tc>
              <w:tc>
                <w:tcPr>
                  <w:tcW w:w="686" w:type="pct"/>
                  <w:tcBorders>
                    <w:right w:val="nil"/>
                  </w:tcBorders>
                  <w:noWrap w:val="0"/>
                  <w:vAlign w:val="center"/>
                </w:tcPr>
                <w:p w14:paraId="4D53A07D">
                  <w:pPr>
                    <w:adjustRightInd w:val="0"/>
                    <w:snapToGrid w:val="0"/>
                    <w:jc w:val="center"/>
                    <w:rPr>
                      <w:rFonts w:hint="eastAsia" w:eastAsia="宋体"/>
                      <w:bCs/>
                      <w:sz w:val="21"/>
                      <w:szCs w:val="21"/>
                      <w:highlight w:val="none"/>
                      <w:lang w:val="en-US" w:eastAsia="zh-CN"/>
                    </w:rPr>
                  </w:pPr>
                  <w:r>
                    <w:rPr>
                      <w:rFonts w:hint="eastAsia"/>
                      <w:bCs/>
                      <w:sz w:val="21"/>
                      <w:szCs w:val="21"/>
                      <w:highlight w:val="none"/>
                      <w:lang w:val="en-US" w:eastAsia="zh-CN"/>
                    </w:rPr>
                    <w:t>Y</w:t>
                  </w:r>
                </w:p>
              </w:tc>
              <w:tc>
                <w:tcPr>
                  <w:tcW w:w="364" w:type="pct"/>
                  <w:vMerge w:val="continue"/>
                  <w:tcBorders>
                    <w:right w:val="nil"/>
                  </w:tcBorders>
                  <w:noWrap w:val="0"/>
                  <w:vAlign w:val="center"/>
                </w:tcPr>
                <w:p w14:paraId="0357938B">
                  <w:pPr>
                    <w:adjustRightInd w:val="0"/>
                    <w:snapToGrid w:val="0"/>
                    <w:jc w:val="center"/>
                    <w:rPr>
                      <w:rFonts w:hint="eastAsia"/>
                      <w:bCs/>
                      <w:sz w:val="21"/>
                      <w:szCs w:val="21"/>
                      <w:highlight w:val="none"/>
                    </w:rPr>
                  </w:pPr>
                </w:p>
              </w:tc>
              <w:tc>
                <w:tcPr>
                  <w:tcW w:w="441" w:type="pct"/>
                  <w:vMerge w:val="continue"/>
                  <w:tcBorders>
                    <w:right w:val="nil"/>
                  </w:tcBorders>
                  <w:noWrap w:val="0"/>
                  <w:vAlign w:val="center"/>
                </w:tcPr>
                <w:p w14:paraId="57C48C8D">
                  <w:pPr>
                    <w:adjustRightInd w:val="0"/>
                    <w:snapToGrid w:val="0"/>
                    <w:jc w:val="center"/>
                    <w:rPr>
                      <w:rFonts w:hint="eastAsia"/>
                      <w:bCs/>
                      <w:sz w:val="21"/>
                      <w:szCs w:val="21"/>
                      <w:highlight w:val="none"/>
                    </w:rPr>
                  </w:pPr>
                </w:p>
              </w:tc>
              <w:tc>
                <w:tcPr>
                  <w:tcW w:w="937" w:type="pct"/>
                  <w:vMerge w:val="continue"/>
                  <w:tcBorders>
                    <w:right w:val="nil"/>
                  </w:tcBorders>
                  <w:noWrap w:val="0"/>
                  <w:vAlign w:val="center"/>
                </w:tcPr>
                <w:p w14:paraId="656E4FE7">
                  <w:pPr>
                    <w:adjustRightInd w:val="0"/>
                    <w:snapToGrid w:val="0"/>
                    <w:jc w:val="center"/>
                    <w:rPr>
                      <w:rFonts w:hint="eastAsia"/>
                      <w:bCs/>
                      <w:sz w:val="21"/>
                      <w:szCs w:val="21"/>
                      <w:highlight w:val="none"/>
                    </w:rPr>
                  </w:pPr>
                </w:p>
              </w:tc>
            </w:tr>
            <w:tr w14:paraId="74801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523" w:hRule="atLeast"/>
                <w:jc w:val="center"/>
              </w:trPr>
              <w:tc>
                <w:tcPr>
                  <w:tcW w:w="310" w:type="pct"/>
                  <w:vMerge w:val="restart"/>
                  <w:tcBorders>
                    <w:left w:val="nil"/>
                  </w:tcBorders>
                  <w:noWrap w:val="0"/>
                  <w:vAlign w:val="center"/>
                </w:tcPr>
                <w:p w14:paraId="457B2D90">
                  <w:pPr>
                    <w:adjustRightInd w:val="0"/>
                    <w:snapToGrid w:val="0"/>
                    <w:jc w:val="center"/>
                    <w:rPr>
                      <w:rFonts w:hint="eastAsia"/>
                      <w:bCs/>
                      <w:sz w:val="21"/>
                      <w:szCs w:val="21"/>
                      <w:highlight w:val="none"/>
                    </w:rPr>
                  </w:pPr>
                  <w:r>
                    <w:rPr>
                      <w:rFonts w:hint="eastAsia"/>
                      <w:bCs/>
                      <w:sz w:val="21"/>
                      <w:szCs w:val="21"/>
                      <w:highlight w:val="none"/>
                    </w:rPr>
                    <w:t>1</w:t>
                  </w:r>
                </w:p>
              </w:tc>
              <w:tc>
                <w:tcPr>
                  <w:tcW w:w="855" w:type="pct"/>
                  <w:vMerge w:val="restart"/>
                  <w:tcBorders>
                    <w:left w:val="nil"/>
                  </w:tcBorders>
                  <w:noWrap w:val="0"/>
                  <w:vAlign w:val="center"/>
                </w:tcPr>
                <w:p w14:paraId="29F83BA2">
                  <w:pPr>
                    <w:adjustRightInd w:val="0"/>
                    <w:snapToGrid w:val="0"/>
                    <w:jc w:val="center"/>
                    <w:rPr>
                      <w:rFonts w:hint="eastAsia"/>
                      <w:bCs/>
                      <w:sz w:val="21"/>
                      <w:szCs w:val="21"/>
                      <w:highlight w:val="none"/>
                    </w:rPr>
                  </w:pPr>
                  <w:r>
                    <w:rPr>
                      <w:rFonts w:hint="eastAsia"/>
                      <w:bCs/>
                      <w:sz w:val="21"/>
                      <w:szCs w:val="21"/>
                      <w:highlight w:val="none"/>
                    </w:rPr>
                    <w:t>大气环境（500m内）</w:t>
                  </w:r>
                </w:p>
              </w:tc>
              <w:tc>
                <w:tcPr>
                  <w:tcW w:w="638" w:type="pct"/>
                  <w:tcBorders>
                    <w:right w:val="nil"/>
                  </w:tcBorders>
                  <w:noWrap w:val="0"/>
                  <w:vAlign w:val="center"/>
                </w:tcPr>
                <w:p w14:paraId="276AE6CC">
                  <w:pPr>
                    <w:adjustRightInd w:val="0"/>
                    <w:snapToGrid w:val="0"/>
                    <w:jc w:val="center"/>
                    <w:rPr>
                      <w:bCs/>
                      <w:sz w:val="21"/>
                      <w:szCs w:val="21"/>
                      <w:highlight w:val="none"/>
                    </w:rPr>
                  </w:pPr>
                  <w:r>
                    <w:rPr>
                      <w:rFonts w:hint="eastAsia"/>
                      <w:bCs/>
                      <w:sz w:val="21"/>
                      <w:szCs w:val="21"/>
                      <w:highlight w:val="none"/>
                      <w:lang w:eastAsia="zh-CN"/>
                    </w:rPr>
                    <w:t>田洋村</w:t>
                  </w:r>
                </w:p>
              </w:tc>
              <w:tc>
                <w:tcPr>
                  <w:tcW w:w="766" w:type="pct"/>
                  <w:tcBorders>
                    <w:right w:val="nil"/>
                  </w:tcBorders>
                  <w:noWrap w:val="0"/>
                  <w:vAlign w:val="center"/>
                </w:tcPr>
                <w:p w14:paraId="74988807">
                  <w:pPr>
                    <w:adjustRightInd w:val="0"/>
                    <w:snapToGrid w:val="0"/>
                    <w:jc w:val="center"/>
                    <w:rPr>
                      <w:rFonts w:hint="default" w:eastAsia="宋体"/>
                      <w:bCs/>
                      <w:sz w:val="21"/>
                      <w:szCs w:val="21"/>
                      <w:highlight w:val="none"/>
                      <w:lang w:val="en-US" w:eastAsia="zh-CN"/>
                    </w:rPr>
                  </w:pPr>
                  <w:r>
                    <w:rPr>
                      <w:rFonts w:hint="eastAsia"/>
                      <w:highlight w:val="none"/>
                    </w:rPr>
                    <w:t>653240.76</w:t>
                  </w:r>
                </w:p>
              </w:tc>
              <w:tc>
                <w:tcPr>
                  <w:tcW w:w="686" w:type="pct"/>
                  <w:tcBorders>
                    <w:right w:val="nil"/>
                  </w:tcBorders>
                  <w:noWrap w:val="0"/>
                  <w:vAlign w:val="center"/>
                </w:tcPr>
                <w:p w14:paraId="5B52F56F">
                  <w:pPr>
                    <w:adjustRightInd w:val="0"/>
                    <w:snapToGrid w:val="0"/>
                    <w:jc w:val="center"/>
                    <w:rPr>
                      <w:rFonts w:hint="default"/>
                      <w:bCs/>
                      <w:sz w:val="21"/>
                      <w:szCs w:val="21"/>
                      <w:highlight w:val="none"/>
                      <w:lang w:val="en-US" w:eastAsia="zh-CN"/>
                    </w:rPr>
                  </w:pPr>
                  <w:r>
                    <w:rPr>
                      <w:rFonts w:hint="eastAsia"/>
                      <w:bCs/>
                      <w:sz w:val="21"/>
                      <w:szCs w:val="21"/>
                      <w:highlight w:val="none"/>
                      <w:lang w:val="en-US" w:eastAsia="zh-CN"/>
                    </w:rPr>
                    <w:t>2755655.60</w:t>
                  </w:r>
                </w:p>
              </w:tc>
              <w:tc>
                <w:tcPr>
                  <w:tcW w:w="364" w:type="pct"/>
                  <w:tcBorders>
                    <w:right w:val="nil"/>
                  </w:tcBorders>
                  <w:noWrap w:val="0"/>
                  <w:vAlign w:val="center"/>
                </w:tcPr>
                <w:p w14:paraId="3E2FCFDE">
                  <w:pPr>
                    <w:adjustRightInd w:val="0"/>
                    <w:snapToGrid w:val="0"/>
                    <w:jc w:val="center"/>
                    <w:rPr>
                      <w:rFonts w:hint="default" w:eastAsia="宋体"/>
                      <w:bCs/>
                      <w:sz w:val="21"/>
                      <w:szCs w:val="21"/>
                      <w:highlight w:val="none"/>
                      <w:lang w:val="en-US" w:eastAsia="zh-CN"/>
                    </w:rPr>
                  </w:pPr>
                  <w:r>
                    <w:rPr>
                      <w:rFonts w:hint="eastAsia"/>
                      <w:bCs/>
                      <w:sz w:val="21"/>
                      <w:szCs w:val="21"/>
                      <w:highlight w:val="none"/>
                      <w:lang w:val="en-US" w:eastAsia="zh-CN"/>
                    </w:rPr>
                    <w:t>NE</w:t>
                  </w:r>
                </w:p>
              </w:tc>
              <w:tc>
                <w:tcPr>
                  <w:tcW w:w="441" w:type="pct"/>
                  <w:tcBorders>
                    <w:right w:val="nil"/>
                  </w:tcBorders>
                  <w:noWrap w:val="0"/>
                  <w:vAlign w:val="center"/>
                </w:tcPr>
                <w:p w14:paraId="0E9D9CAE">
                  <w:pPr>
                    <w:adjustRightInd w:val="0"/>
                    <w:snapToGrid w:val="0"/>
                    <w:jc w:val="center"/>
                    <w:rPr>
                      <w:rFonts w:hint="default"/>
                      <w:bCs/>
                      <w:sz w:val="21"/>
                      <w:szCs w:val="21"/>
                      <w:highlight w:val="none"/>
                      <w:lang w:val="en-US" w:eastAsia="zh-CN"/>
                    </w:rPr>
                  </w:pPr>
                  <w:r>
                    <w:rPr>
                      <w:rFonts w:hint="eastAsia"/>
                      <w:bCs/>
                      <w:sz w:val="21"/>
                      <w:szCs w:val="21"/>
                      <w:highlight w:val="none"/>
                      <w:lang w:val="en-US" w:eastAsia="zh-CN"/>
                    </w:rPr>
                    <w:t>57</w:t>
                  </w:r>
                </w:p>
              </w:tc>
              <w:tc>
                <w:tcPr>
                  <w:tcW w:w="937" w:type="pct"/>
                  <w:vMerge w:val="restart"/>
                  <w:tcBorders>
                    <w:right w:val="nil"/>
                  </w:tcBorders>
                  <w:noWrap w:val="0"/>
                  <w:vAlign w:val="center"/>
                </w:tcPr>
                <w:p w14:paraId="59B358A5">
                  <w:pPr>
                    <w:adjustRightInd w:val="0"/>
                    <w:snapToGrid w:val="0"/>
                    <w:jc w:val="center"/>
                    <w:rPr>
                      <w:rFonts w:hint="eastAsia"/>
                      <w:bCs/>
                      <w:sz w:val="21"/>
                      <w:szCs w:val="21"/>
                      <w:highlight w:val="none"/>
                    </w:rPr>
                  </w:pPr>
                  <w:r>
                    <w:rPr>
                      <w:rFonts w:hint="default" w:ascii="Times New Roman" w:hAnsi="Times New Roman" w:eastAsia="宋体" w:cs="Times New Roman"/>
                      <w:color w:val="auto"/>
                      <w:spacing w:val="0"/>
                      <w:sz w:val="21"/>
                      <w:szCs w:val="21"/>
                      <w:highlight w:val="none"/>
                    </w:rPr>
                    <w:t>GB3095-201</w:t>
                  </w:r>
                  <w:r>
                    <w:rPr>
                      <w:rFonts w:hint="eastAsia" w:ascii="Times New Roman" w:hAnsi="Times New Roman" w:eastAsia="宋体" w:cs="Times New Roman"/>
                      <w:color w:val="auto"/>
                      <w:spacing w:val="0"/>
                      <w:sz w:val="21"/>
                      <w:szCs w:val="21"/>
                      <w:highlight w:val="none"/>
                      <w:lang w:val="en-US" w:eastAsia="zh-CN"/>
                    </w:rPr>
                    <w:t>2</w:t>
                  </w:r>
                  <w:r>
                    <w:rPr>
                      <w:rFonts w:hint="default" w:ascii="Times New Roman" w:hAnsi="Times New Roman" w:eastAsia="宋体" w:cs="Times New Roman"/>
                      <w:color w:val="auto"/>
                      <w:spacing w:val="0"/>
                      <w:sz w:val="21"/>
                      <w:szCs w:val="21"/>
                      <w:highlight w:val="none"/>
                    </w:rPr>
                    <w:t>《环境空气质量标准》</w:t>
                  </w:r>
                  <w:r>
                    <w:rPr>
                      <w:rFonts w:hint="default" w:ascii="Times New Roman" w:hAnsi="Times New Roman" w:eastAsia="宋体" w:cs="Times New Roman"/>
                      <w:color w:val="auto"/>
                      <w:spacing w:val="0"/>
                      <w:sz w:val="21"/>
                      <w:szCs w:val="21"/>
                      <w:highlight w:val="none"/>
                      <w:lang w:val="en-US" w:eastAsia="zh-CN"/>
                    </w:rPr>
                    <w:t>二类功能区</w:t>
                  </w:r>
                </w:p>
              </w:tc>
            </w:tr>
            <w:tr w14:paraId="4D755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10" w:type="pct"/>
                  <w:vMerge w:val="continue"/>
                  <w:tcBorders>
                    <w:left w:val="nil"/>
                  </w:tcBorders>
                  <w:noWrap w:val="0"/>
                  <w:vAlign w:val="center"/>
                </w:tcPr>
                <w:p w14:paraId="24F3A169">
                  <w:pPr>
                    <w:adjustRightInd w:val="0"/>
                    <w:snapToGrid w:val="0"/>
                    <w:jc w:val="center"/>
                    <w:rPr>
                      <w:rFonts w:hint="eastAsia" w:eastAsia="宋体"/>
                      <w:bCs/>
                      <w:sz w:val="21"/>
                      <w:szCs w:val="21"/>
                      <w:highlight w:val="none"/>
                      <w:lang w:val="en-US" w:eastAsia="zh-CN"/>
                    </w:rPr>
                  </w:pPr>
                </w:p>
              </w:tc>
              <w:tc>
                <w:tcPr>
                  <w:tcW w:w="855" w:type="pct"/>
                  <w:vMerge w:val="continue"/>
                  <w:tcBorders>
                    <w:left w:val="nil"/>
                  </w:tcBorders>
                  <w:noWrap w:val="0"/>
                  <w:vAlign w:val="center"/>
                </w:tcPr>
                <w:p w14:paraId="2CA819BF">
                  <w:pPr>
                    <w:adjustRightInd w:val="0"/>
                    <w:snapToGrid w:val="0"/>
                    <w:jc w:val="center"/>
                    <w:rPr>
                      <w:rFonts w:hint="eastAsia"/>
                      <w:bCs/>
                      <w:sz w:val="21"/>
                      <w:szCs w:val="21"/>
                      <w:highlight w:val="none"/>
                    </w:rPr>
                  </w:pPr>
                </w:p>
              </w:tc>
              <w:tc>
                <w:tcPr>
                  <w:tcW w:w="638" w:type="pct"/>
                  <w:tcBorders>
                    <w:right w:val="nil"/>
                  </w:tcBorders>
                  <w:noWrap w:val="0"/>
                  <w:vAlign w:val="center"/>
                </w:tcPr>
                <w:p w14:paraId="2B22CE56">
                  <w:pPr>
                    <w:adjustRightInd w:val="0"/>
                    <w:snapToGrid w:val="0"/>
                    <w:jc w:val="center"/>
                    <w:rPr>
                      <w:rFonts w:hint="eastAsia"/>
                      <w:bCs/>
                      <w:sz w:val="21"/>
                      <w:szCs w:val="21"/>
                      <w:highlight w:val="none"/>
                      <w:lang w:eastAsia="zh-CN"/>
                    </w:rPr>
                  </w:pPr>
                  <w:r>
                    <w:rPr>
                      <w:rFonts w:hint="eastAsia"/>
                      <w:bCs/>
                      <w:sz w:val="21"/>
                      <w:szCs w:val="21"/>
                      <w:highlight w:val="none"/>
                      <w:lang w:eastAsia="zh-CN"/>
                    </w:rPr>
                    <w:t>下店村</w:t>
                  </w:r>
                </w:p>
              </w:tc>
              <w:tc>
                <w:tcPr>
                  <w:tcW w:w="766" w:type="pct"/>
                  <w:tcBorders>
                    <w:right w:val="nil"/>
                  </w:tcBorders>
                  <w:noWrap w:val="0"/>
                  <w:vAlign w:val="center"/>
                </w:tcPr>
                <w:p w14:paraId="2F52EF93">
                  <w:pPr>
                    <w:adjustRightInd w:val="0"/>
                    <w:snapToGrid w:val="0"/>
                    <w:jc w:val="center"/>
                    <w:rPr>
                      <w:rFonts w:hint="default"/>
                      <w:bCs/>
                      <w:sz w:val="21"/>
                      <w:szCs w:val="21"/>
                      <w:highlight w:val="none"/>
                      <w:lang w:val="en-US" w:eastAsia="zh-CN"/>
                    </w:rPr>
                  </w:pPr>
                  <w:r>
                    <w:rPr>
                      <w:rFonts w:hint="eastAsia"/>
                      <w:bCs/>
                      <w:sz w:val="21"/>
                      <w:szCs w:val="21"/>
                      <w:highlight w:val="none"/>
                      <w:lang w:val="en-US" w:eastAsia="zh-CN"/>
                    </w:rPr>
                    <w:t>653211.52</w:t>
                  </w:r>
                </w:p>
              </w:tc>
              <w:tc>
                <w:tcPr>
                  <w:tcW w:w="686" w:type="pct"/>
                  <w:tcBorders>
                    <w:right w:val="nil"/>
                  </w:tcBorders>
                  <w:noWrap w:val="0"/>
                  <w:vAlign w:val="center"/>
                </w:tcPr>
                <w:p w14:paraId="61EE8886">
                  <w:pPr>
                    <w:adjustRightInd w:val="0"/>
                    <w:snapToGrid w:val="0"/>
                    <w:jc w:val="center"/>
                    <w:rPr>
                      <w:rFonts w:hint="default"/>
                      <w:bCs/>
                      <w:sz w:val="21"/>
                      <w:szCs w:val="21"/>
                      <w:highlight w:val="none"/>
                      <w:lang w:val="en-US" w:eastAsia="zh-CN"/>
                    </w:rPr>
                  </w:pPr>
                  <w:r>
                    <w:rPr>
                      <w:rFonts w:hint="eastAsia"/>
                      <w:highlight w:val="none"/>
                    </w:rPr>
                    <w:t>2756040.08</w:t>
                  </w:r>
                </w:p>
              </w:tc>
              <w:tc>
                <w:tcPr>
                  <w:tcW w:w="364" w:type="pct"/>
                  <w:tcBorders>
                    <w:right w:val="nil"/>
                  </w:tcBorders>
                  <w:noWrap w:val="0"/>
                  <w:vAlign w:val="center"/>
                </w:tcPr>
                <w:p w14:paraId="557AD466">
                  <w:pPr>
                    <w:adjustRightInd w:val="0"/>
                    <w:snapToGrid w:val="0"/>
                    <w:jc w:val="center"/>
                    <w:rPr>
                      <w:rFonts w:hint="default"/>
                      <w:bCs/>
                      <w:sz w:val="21"/>
                      <w:szCs w:val="21"/>
                      <w:highlight w:val="none"/>
                      <w:lang w:val="en-US" w:eastAsia="zh-CN"/>
                    </w:rPr>
                  </w:pPr>
                  <w:r>
                    <w:rPr>
                      <w:rFonts w:hint="eastAsia"/>
                      <w:bCs/>
                      <w:sz w:val="21"/>
                      <w:szCs w:val="21"/>
                      <w:highlight w:val="none"/>
                      <w:lang w:val="en-US" w:eastAsia="zh-CN"/>
                    </w:rPr>
                    <w:t>N</w:t>
                  </w:r>
                </w:p>
              </w:tc>
              <w:tc>
                <w:tcPr>
                  <w:tcW w:w="441" w:type="pct"/>
                  <w:tcBorders>
                    <w:right w:val="nil"/>
                  </w:tcBorders>
                  <w:noWrap w:val="0"/>
                  <w:vAlign w:val="center"/>
                </w:tcPr>
                <w:p w14:paraId="06490250">
                  <w:pPr>
                    <w:adjustRightInd w:val="0"/>
                    <w:snapToGrid w:val="0"/>
                    <w:jc w:val="center"/>
                    <w:rPr>
                      <w:rFonts w:hint="default"/>
                      <w:bCs/>
                      <w:sz w:val="21"/>
                      <w:szCs w:val="21"/>
                      <w:highlight w:val="none"/>
                      <w:lang w:val="en-US" w:eastAsia="zh-CN"/>
                    </w:rPr>
                  </w:pPr>
                  <w:r>
                    <w:rPr>
                      <w:rFonts w:hint="eastAsia"/>
                      <w:bCs/>
                      <w:sz w:val="21"/>
                      <w:szCs w:val="21"/>
                      <w:highlight w:val="none"/>
                      <w:lang w:val="en-US" w:eastAsia="zh-CN"/>
                    </w:rPr>
                    <w:t>341</w:t>
                  </w:r>
                </w:p>
              </w:tc>
              <w:tc>
                <w:tcPr>
                  <w:tcW w:w="937" w:type="pct"/>
                  <w:vMerge w:val="continue"/>
                  <w:tcBorders>
                    <w:right w:val="nil"/>
                  </w:tcBorders>
                  <w:noWrap w:val="0"/>
                  <w:vAlign w:val="center"/>
                </w:tcPr>
                <w:p w14:paraId="1AFC0D61">
                  <w:pPr>
                    <w:adjustRightInd w:val="0"/>
                    <w:snapToGrid w:val="0"/>
                    <w:jc w:val="center"/>
                    <w:rPr>
                      <w:rFonts w:hint="default" w:ascii="Times New Roman" w:hAnsi="Times New Roman" w:eastAsia="宋体" w:cs="Times New Roman"/>
                      <w:color w:val="auto"/>
                      <w:spacing w:val="0"/>
                      <w:sz w:val="21"/>
                      <w:szCs w:val="21"/>
                      <w:highlight w:val="none"/>
                    </w:rPr>
                  </w:pPr>
                </w:p>
              </w:tc>
            </w:tr>
            <w:tr w14:paraId="66113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10" w:type="pct"/>
                  <w:tcBorders>
                    <w:left w:val="nil"/>
                  </w:tcBorders>
                  <w:noWrap w:val="0"/>
                  <w:vAlign w:val="center"/>
                </w:tcPr>
                <w:p w14:paraId="3C0B9803">
                  <w:pPr>
                    <w:adjustRightInd w:val="0"/>
                    <w:snapToGrid w:val="0"/>
                    <w:jc w:val="center"/>
                    <w:rPr>
                      <w:bCs/>
                      <w:sz w:val="21"/>
                      <w:szCs w:val="21"/>
                      <w:highlight w:val="none"/>
                    </w:rPr>
                  </w:pPr>
                  <w:r>
                    <w:rPr>
                      <w:rFonts w:hint="eastAsia"/>
                      <w:bCs/>
                      <w:sz w:val="21"/>
                      <w:szCs w:val="21"/>
                      <w:highlight w:val="none"/>
                    </w:rPr>
                    <w:t>2</w:t>
                  </w:r>
                </w:p>
              </w:tc>
              <w:tc>
                <w:tcPr>
                  <w:tcW w:w="855" w:type="pct"/>
                  <w:tcBorders>
                    <w:left w:val="nil"/>
                  </w:tcBorders>
                  <w:noWrap w:val="0"/>
                  <w:vAlign w:val="center"/>
                </w:tcPr>
                <w:p w14:paraId="61ABE2F1">
                  <w:pPr>
                    <w:adjustRightInd w:val="0"/>
                    <w:snapToGrid w:val="0"/>
                    <w:jc w:val="center"/>
                    <w:rPr>
                      <w:bCs/>
                      <w:sz w:val="21"/>
                      <w:szCs w:val="21"/>
                      <w:highlight w:val="none"/>
                    </w:rPr>
                  </w:pPr>
                  <w:r>
                    <w:rPr>
                      <w:bCs/>
                      <w:sz w:val="21"/>
                      <w:szCs w:val="21"/>
                      <w:highlight w:val="none"/>
                    </w:rPr>
                    <w:t>声环境</w:t>
                  </w:r>
                </w:p>
                <w:p w14:paraId="67F0CF03">
                  <w:pPr>
                    <w:adjustRightInd w:val="0"/>
                    <w:snapToGrid w:val="0"/>
                    <w:jc w:val="center"/>
                    <w:rPr>
                      <w:bCs/>
                      <w:sz w:val="21"/>
                      <w:szCs w:val="21"/>
                      <w:highlight w:val="none"/>
                    </w:rPr>
                  </w:pPr>
                  <w:r>
                    <w:rPr>
                      <w:rFonts w:hint="eastAsia"/>
                      <w:bCs/>
                      <w:sz w:val="21"/>
                      <w:szCs w:val="21"/>
                      <w:highlight w:val="none"/>
                    </w:rPr>
                    <w:t>（50m内）</w:t>
                  </w:r>
                </w:p>
              </w:tc>
              <w:tc>
                <w:tcPr>
                  <w:tcW w:w="3834" w:type="pct"/>
                  <w:gridSpan w:val="6"/>
                  <w:tcBorders>
                    <w:right w:val="nil"/>
                  </w:tcBorders>
                  <w:noWrap w:val="0"/>
                  <w:vAlign w:val="center"/>
                </w:tcPr>
                <w:p w14:paraId="7B661B11">
                  <w:pPr>
                    <w:adjustRightInd w:val="0"/>
                    <w:snapToGrid w:val="0"/>
                    <w:jc w:val="center"/>
                    <w:rPr>
                      <w:bCs/>
                      <w:sz w:val="21"/>
                      <w:szCs w:val="21"/>
                      <w:highlight w:val="none"/>
                    </w:rPr>
                  </w:pPr>
                  <w:r>
                    <w:rPr>
                      <w:bCs/>
                      <w:sz w:val="21"/>
                      <w:szCs w:val="21"/>
                      <w:highlight w:val="none"/>
                    </w:rPr>
                    <w:t>厂界外50米范围内无声环境敏感目标</w:t>
                  </w:r>
                </w:p>
              </w:tc>
            </w:tr>
            <w:tr w14:paraId="585AC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10" w:type="pct"/>
                  <w:tcBorders>
                    <w:left w:val="nil"/>
                  </w:tcBorders>
                  <w:noWrap w:val="0"/>
                  <w:vAlign w:val="center"/>
                </w:tcPr>
                <w:p w14:paraId="0A858EFB">
                  <w:pPr>
                    <w:adjustRightInd w:val="0"/>
                    <w:snapToGrid w:val="0"/>
                    <w:jc w:val="center"/>
                    <w:rPr>
                      <w:bCs/>
                      <w:sz w:val="21"/>
                      <w:szCs w:val="21"/>
                      <w:highlight w:val="none"/>
                    </w:rPr>
                  </w:pPr>
                  <w:r>
                    <w:rPr>
                      <w:rFonts w:hint="eastAsia"/>
                      <w:bCs/>
                      <w:sz w:val="21"/>
                      <w:szCs w:val="21"/>
                      <w:highlight w:val="none"/>
                    </w:rPr>
                    <w:t>3</w:t>
                  </w:r>
                </w:p>
              </w:tc>
              <w:tc>
                <w:tcPr>
                  <w:tcW w:w="855" w:type="pct"/>
                  <w:tcBorders>
                    <w:left w:val="nil"/>
                  </w:tcBorders>
                  <w:noWrap w:val="0"/>
                  <w:vAlign w:val="center"/>
                </w:tcPr>
                <w:p w14:paraId="4E12FF2F">
                  <w:pPr>
                    <w:adjustRightInd w:val="0"/>
                    <w:snapToGrid w:val="0"/>
                    <w:jc w:val="center"/>
                    <w:rPr>
                      <w:bCs/>
                      <w:sz w:val="21"/>
                      <w:szCs w:val="21"/>
                      <w:highlight w:val="none"/>
                    </w:rPr>
                  </w:pPr>
                  <w:r>
                    <w:rPr>
                      <w:rFonts w:hint="eastAsia"/>
                      <w:bCs/>
                      <w:sz w:val="21"/>
                      <w:szCs w:val="21"/>
                      <w:highlight w:val="none"/>
                    </w:rPr>
                    <w:t>地下水</w:t>
                  </w:r>
                </w:p>
              </w:tc>
              <w:tc>
                <w:tcPr>
                  <w:tcW w:w="3834" w:type="pct"/>
                  <w:gridSpan w:val="6"/>
                  <w:tcBorders>
                    <w:right w:val="nil"/>
                  </w:tcBorders>
                  <w:noWrap w:val="0"/>
                  <w:vAlign w:val="center"/>
                </w:tcPr>
                <w:p w14:paraId="3171EDCE">
                  <w:pPr>
                    <w:adjustRightInd w:val="0"/>
                    <w:snapToGrid w:val="0"/>
                    <w:jc w:val="center"/>
                    <w:rPr>
                      <w:bCs/>
                      <w:sz w:val="21"/>
                      <w:szCs w:val="21"/>
                      <w:highlight w:val="none"/>
                    </w:rPr>
                  </w:pPr>
                  <w:r>
                    <w:rPr>
                      <w:rFonts w:hint="eastAsia"/>
                      <w:bCs/>
                      <w:sz w:val="21"/>
                      <w:szCs w:val="21"/>
                      <w:highlight w:val="none"/>
                    </w:rPr>
                    <w:t>厂界外500m范围内无地下水集中式饮用水水源和热水、矿泉水、温泉等特殊地下水资源</w:t>
                  </w:r>
                </w:p>
              </w:tc>
            </w:tr>
            <w:tr w14:paraId="03466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10" w:type="pct"/>
                  <w:tcBorders>
                    <w:left w:val="nil"/>
                  </w:tcBorders>
                  <w:noWrap w:val="0"/>
                  <w:vAlign w:val="center"/>
                </w:tcPr>
                <w:p w14:paraId="419D33A3">
                  <w:pPr>
                    <w:adjustRightInd w:val="0"/>
                    <w:snapToGrid w:val="0"/>
                    <w:jc w:val="center"/>
                    <w:rPr>
                      <w:bCs/>
                      <w:sz w:val="21"/>
                      <w:szCs w:val="21"/>
                      <w:highlight w:val="none"/>
                    </w:rPr>
                  </w:pPr>
                  <w:r>
                    <w:rPr>
                      <w:rFonts w:hint="eastAsia"/>
                      <w:bCs/>
                      <w:sz w:val="21"/>
                      <w:szCs w:val="21"/>
                      <w:highlight w:val="none"/>
                    </w:rPr>
                    <w:t>4</w:t>
                  </w:r>
                </w:p>
              </w:tc>
              <w:tc>
                <w:tcPr>
                  <w:tcW w:w="855" w:type="pct"/>
                  <w:tcBorders>
                    <w:left w:val="nil"/>
                  </w:tcBorders>
                  <w:noWrap w:val="0"/>
                  <w:vAlign w:val="center"/>
                </w:tcPr>
                <w:p w14:paraId="70354880">
                  <w:pPr>
                    <w:adjustRightInd w:val="0"/>
                    <w:snapToGrid w:val="0"/>
                    <w:jc w:val="center"/>
                    <w:rPr>
                      <w:bCs/>
                      <w:sz w:val="21"/>
                      <w:szCs w:val="21"/>
                      <w:highlight w:val="none"/>
                    </w:rPr>
                  </w:pPr>
                  <w:r>
                    <w:rPr>
                      <w:rFonts w:hint="eastAsia"/>
                      <w:bCs/>
                      <w:sz w:val="21"/>
                      <w:szCs w:val="21"/>
                      <w:highlight w:val="none"/>
                    </w:rPr>
                    <w:t>生态环境</w:t>
                  </w:r>
                </w:p>
              </w:tc>
              <w:tc>
                <w:tcPr>
                  <w:tcW w:w="3834" w:type="pct"/>
                  <w:gridSpan w:val="6"/>
                  <w:tcBorders>
                    <w:right w:val="nil"/>
                  </w:tcBorders>
                  <w:noWrap w:val="0"/>
                  <w:vAlign w:val="center"/>
                </w:tcPr>
                <w:p w14:paraId="098F1141">
                  <w:pPr>
                    <w:adjustRightInd w:val="0"/>
                    <w:snapToGrid w:val="0"/>
                    <w:jc w:val="center"/>
                    <w:rPr>
                      <w:bCs/>
                      <w:sz w:val="21"/>
                      <w:szCs w:val="21"/>
                      <w:highlight w:val="none"/>
                    </w:rPr>
                  </w:pPr>
                  <w:r>
                    <w:rPr>
                      <w:rFonts w:hint="eastAsia"/>
                      <w:bCs/>
                      <w:sz w:val="21"/>
                      <w:szCs w:val="21"/>
                      <w:highlight w:val="none"/>
                    </w:rPr>
                    <w:t>项目未新增用地，不会对周围生态环境产生影响。</w:t>
                  </w:r>
                </w:p>
              </w:tc>
            </w:tr>
          </w:tbl>
          <w:p w14:paraId="044E61FA">
            <w:pPr>
              <w:adjustRightInd w:val="0"/>
              <w:snapToGrid w:val="0"/>
              <w:jc w:val="both"/>
              <w:rPr>
                <w:rFonts w:hint="default" w:ascii="Times New Roman" w:hAnsi="Times New Roman" w:eastAsia="宋体" w:cs="Times New Roman"/>
                <w:color w:val="auto"/>
                <w:kern w:val="0"/>
                <w:sz w:val="21"/>
                <w:szCs w:val="21"/>
                <w:highlight w:val="none"/>
              </w:rPr>
            </w:pPr>
          </w:p>
        </w:tc>
      </w:tr>
      <w:tr w14:paraId="2E6E2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454" w:type="dxa"/>
            <w:noWrap w:val="0"/>
            <w:tcMar>
              <w:left w:w="28" w:type="dxa"/>
              <w:right w:w="28" w:type="dxa"/>
            </w:tcMar>
            <w:vAlign w:val="center"/>
          </w:tcPr>
          <w:p w14:paraId="1A387852">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14:paraId="488E1BE6">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14:paraId="7BEF0844">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14:paraId="1D23CFDF">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14:paraId="2B49B0AF">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4"/>
                <w:szCs w:val="24"/>
                <w:highlight w:val="none"/>
              </w:rPr>
              <w:t>准</w:t>
            </w:r>
          </w:p>
        </w:tc>
        <w:tc>
          <w:tcPr>
            <w:tcW w:w="8063" w:type="dxa"/>
            <w:noWrap w:val="0"/>
            <w:vAlign w:val="center"/>
          </w:tcPr>
          <w:p w14:paraId="763C17E2">
            <w:pPr>
              <w:pStyle w:val="56"/>
              <w:keepNext w:val="0"/>
              <w:keepLines w:val="0"/>
              <w:pageBreakBefore w:val="0"/>
              <w:widowControl w:val="0"/>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eastAsia="宋体" w:cs="Times New Roman"/>
                <w:color w:val="auto"/>
                <w:highlight w:val="none"/>
              </w:rPr>
            </w:pPr>
            <w:r>
              <w:rPr>
                <w:rFonts w:hint="default" w:ascii="Times New Roman" w:hAnsi="Times New Roman" w:eastAsia="宋体" w:cs="Times New Roman"/>
                <w:b/>
                <w:bCs w:val="0"/>
                <w:color w:val="auto"/>
                <w:kern w:val="2"/>
                <w:sz w:val="28"/>
                <w:szCs w:val="28"/>
                <w:highlight w:val="none"/>
                <w:lang w:val="en-US" w:eastAsia="zh-CN" w:bidi="ar-SA"/>
              </w:rPr>
              <w:t>3.</w:t>
            </w:r>
            <w:r>
              <w:rPr>
                <w:rFonts w:hint="eastAsia" w:ascii="Times New Roman" w:hAnsi="Times New Roman" w:eastAsia="宋体" w:cs="Times New Roman"/>
                <w:b/>
                <w:bCs w:val="0"/>
                <w:color w:val="auto"/>
                <w:kern w:val="2"/>
                <w:sz w:val="28"/>
                <w:szCs w:val="28"/>
                <w:highlight w:val="none"/>
                <w:lang w:val="en-US" w:eastAsia="zh-CN" w:bidi="ar-SA"/>
              </w:rPr>
              <w:t>7</w:t>
            </w:r>
            <w:r>
              <w:rPr>
                <w:rFonts w:hint="default" w:ascii="Times New Roman" w:hAnsi="Times New Roman" w:eastAsia="宋体" w:cs="Times New Roman"/>
                <w:color w:val="auto"/>
                <w:highlight w:val="none"/>
              </w:rPr>
              <w:t>污染物排放</w:t>
            </w:r>
            <w:r>
              <w:rPr>
                <w:rFonts w:hint="default" w:ascii="Times New Roman" w:hAnsi="Times New Roman" w:eastAsia="宋体" w:cs="Times New Roman"/>
                <w:color w:val="auto"/>
                <w:highlight w:val="none"/>
                <w:lang w:eastAsia="zh-CN"/>
              </w:rPr>
              <w:t>控制</w:t>
            </w:r>
            <w:r>
              <w:rPr>
                <w:rFonts w:hint="default" w:ascii="Times New Roman" w:hAnsi="Times New Roman" w:eastAsia="宋体" w:cs="Times New Roman"/>
                <w:color w:val="auto"/>
                <w:highlight w:val="none"/>
              </w:rPr>
              <w:t>标准</w:t>
            </w:r>
          </w:p>
          <w:p w14:paraId="24DFBB71">
            <w:pPr>
              <w:pStyle w:val="54"/>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w:t>
            </w:r>
            <w:r>
              <w:rPr>
                <w:rFonts w:hint="eastAsia" w:ascii="Times New Roman" w:hAnsi="Times New Roman" w:eastAsia="宋体" w:cs="Times New Roman"/>
                <w:b/>
                <w:bCs w:val="0"/>
                <w:color w:val="auto"/>
                <w:kern w:val="2"/>
                <w:sz w:val="24"/>
                <w:szCs w:val="24"/>
                <w:highlight w:val="none"/>
                <w:lang w:val="en-US" w:eastAsia="zh-CN" w:bidi="ar-SA"/>
              </w:rPr>
              <w:t>7</w:t>
            </w:r>
            <w:r>
              <w:rPr>
                <w:rFonts w:hint="default" w:ascii="Times New Roman" w:hAnsi="Times New Roman" w:eastAsia="宋体" w:cs="Times New Roman"/>
                <w:b/>
                <w:bCs w:val="0"/>
                <w:color w:val="auto"/>
                <w:kern w:val="2"/>
                <w:sz w:val="24"/>
                <w:szCs w:val="24"/>
                <w:highlight w:val="none"/>
                <w:lang w:val="en-US" w:eastAsia="zh-CN" w:bidi="ar-SA"/>
              </w:rPr>
              <w:t>.1废水污染物排放控制标准</w:t>
            </w:r>
          </w:p>
          <w:p w14:paraId="5056EA4E">
            <w:pPr>
              <w:keepNext w:val="0"/>
              <w:keepLines w:val="0"/>
              <w:pageBreakBefore w:val="0"/>
              <w:widowControl w:val="0"/>
              <w:kinsoku/>
              <w:wordWrap/>
              <w:overflowPunct/>
              <w:topLinePunct w:val="0"/>
              <w:autoSpaceDE/>
              <w:autoSpaceDN/>
              <w:bidi w:val="0"/>
              <w:adjustRightInd/>
              <w:snapToGrid/>
              <w:spacing w:before="0" w:line="360" w:lineRule="auto"/>
              <w:ind w:firstLine="488" w:firstLineChars="200"/>
              <w:jc w:val="both"/>
              <w:textAlignment w:val="auto"/>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color w:val="auto"/>
                <w:spacing w:val="2"/>
                <w:sz w:val="24"/>
                <w:szCs w:val="24"/>
                <w:highlight w:val="none"/>
              </w:rPr>
              <w:t>项目</w:t>
            </w:r>
            <w:r>
              <w:rPr>
                <w:rFonts w:hint="eastAsia" w:ascii="Times New Roman" w:hAnsi="Times New Roman" w:eastAsia="宋体" w:cs="Times New Roman"/>
                <w:color w:val="auto"/>
                <w:spacing w:val="2"/>
                <w:sz w:val="24"/>
                <w:szCs w:val="24"/>
                <w:highlight w:val="none"/>
                <w:lang w:eastAsia="zh-CN"/>
              </w:rPr>
              <w:t>外排废水为生产废水和生活污水，生产废水和生活污水分别处理达</w:t>
            </w:r>
            <w:r>
              <w:rPr>
                <w:rFonts w:hint="default" w:ascii="Times New Roman" w:hAnsi="Times New Roman" w:eastAsia="宋体" w:cs="Times New Roman"/>
                <w:color w:val="auto"/>
                <w:spacing w:val="2"/>
                <w:sz w:val="24"/>
                <w:szCs w:val="24"/>
                <w:highlight w:val="none"/>
              </w:rPr>
              <w:t>GB8978-1996《污水综合排放标准》表4三级标准</w:t>
            </w:r>
            <w:r>
              <w:rPr>
                <w:rFonts w:hint="eastAsia" w:ascii="Times New Roman" w:hAnsi="Times New Roman" w:eastAsia="宋体" w:cs="Times New Roman"/>
                <w:color w:val="auto"/>
                <w:spacing w:val="2"/>
                <w:sz w:val="24"/>
                <w:szCs w:val="24"/>
                <w:highlight w:val="none"/>
                <w:lang w:eastAsia="zh-CN"/>
              </w:rPr>
              <w:t>（其中色度、</w:t>
            </w:r>
            <w:r>
              <w:rPr>
                <w:rFonts w:hint="eastAsia" w:ascii="Times New Roman" w:hAnsi="Times New Roman" w:eastAsia="宋体" w:cs="Times New Roman"/>
                <w:color w:val="auto"/>
                <w:spacing w:val="2"/>
                <w:sz w:val="24"/>
                <w:szCs w:val="24"/>
                <w:highlight w:val="none"/>
                <w:lang w:val="en-US" w:eastAsia="zh-CN"/>
              </w:rPr>
              <w:t>NH</w:t>
            </w:r>
            <w:r>
              <w:rPr>
                <w:rFonts w:hint="eastAsia" w:ascii="Times New Roman" w:hAnsi="Times New Roman" w:eastAsia="宋体" w:cs="Times New Roman"/>
                <w:color w:val="auto"/>
                <w:spacing w:val="2"/>
                <w:sz w:val="24"/>
                <w:szCs w:val="24"/>
                <w:highlight w:val="none"/>
                <w:vertAlign w:val="subscript"/>
                <w:lang w:val="en-US" w:eastAsia="zh-CN"/>
              </w:rPr>
              <w:t>3</w:t>
            </w:r>
            <w:r>
              <w:rPr>
                <w:rFonts w:hint="eastAsia" w:ascii="Times New Roman" w:hAnsi="Times New Roman" w:eastAsia="宋体" w:cs="Times New Roman"/>
                <w:color w:val="auto"/>
                <w:spacing w:val="2"/>
                <w:sz w:val="24"/>
                <w:szCs w:val="24"/>
                <w:highlight w:val="none"/>
                <w:lang w:val="en-US" w:eastAsia="zh-CN"/>
              </w:rPr>
              <w:t>-N参照执行</w:t>
            </w:r>
            <w:r>
              <w:rPr>
                <w:rFonts w:hint="default" w:ascii="Times New Roman" w:hAnsi="Times New Roman" w:eastAsia="宋体" w:cs="Times New Roman"/>
                <w:color w:val="auto"/>
                <w:spacing w:val="2"/>
                <w:sz w:val="24"/>
                <w:szCs w:val="24"/>
                <w:highlight w:val="none"/>
              </w:rPr>
              <w:t>GB/T31962-2015</w:t>
            </w:r>
            <w:r>
              <w:rPr>
                <w:rFonts w:hint="eastAsia" w:ascii="Times New Roman" w:hAnsi="Times New Roman" w:eastAsia="宋体" w:cs="Times New Roman"/>
                <w:color w:val="auto"/>
                <w:spacing w:val="2"/>
                <w:sz w:val="24"/>
                <w:szCs w:val="24"/>
                <w:highlight w:val="none"/>
                <w:lang w:val="en-US" w:eastAsia="zh-CN"/>
              </w:rPr>
              <w:t>《污水排入城市下水道水质标准》</w:t>
            </w:r>
            <w:r>
              <w:rPr>
                <w:rFonts w:hint="eastAsia" w:ascii="Times New Roman" w:hAnsi="Times New Roman" w:eastAsia="宋体" w:cs="Times New Roman"/>
                <w:color w:val="auto"/>
                <w:spacing w:val="2"/>
                <w:sz w:val="24"/>
                <w:szCs w:val="24"/>
                <w:highlight w:val="none"/>
                <w:lang w:eastAsia="zh-CN"/>
              </w:rPr>
              <w:t>表</w:t>
            </w:r>
            <w:r>
              <w:rPr>
                <w:rFonts w:hint="eastAsia" w:ascii="Times New Roman" w:hAnsi="Times New Roman" w:eastAsia="宋体" w:cs="Times New Roman"/>
                <w:color w:val="auto"/>
                <w:spacing w:val="2"/>
                <w:sz w:val="24"/>
                <w:szCs w:val="24"/>
                <w:highlight w:val="none"/>
                <w:lang w:val="en-US" w:eastAsia="zh-CN"/>
              </w:rPr>
              <w:t>1中B等级标准）后</w:t>
            </w:r>
            <w:r>
              <w:rPr>
                <w:rFonts w:hint="default" w:ascii="Times New Roman" w:hAnsi="Times New Roman" w:eastAsia="宋体" w:cs="Times New Roman"/>
                <w:color w:val="auto"/>
                <w:spacing w:val="2"/>
                <w:sz w:val="24"/>
                <w:szCs w:val="24"/>
                <w:highlight w:val="none"/>
                <w:lang w:eastAsia="zh-CN"/>
              </w:rPr>
              <w:t>通过市政污水管网纳入</w:t>
            </w:r>
            <w:r>
              <w:rPr>
                <w:rFonts w:hint="eastAsia" w:ascii="Times New Roman" w:hAnsi="Times New Roman" w:eastAsia="宋体" w:cs="Times New Roman"/>
                <w:color w:val="auto"/>
                <w:spacing w:val="2"/>
                <w:sz w:val="24"/>
                <w:szCs w:val="24"/>
                <w:highlight w:val="none"/>
                <w:lang w:eastAsia="zh-CN"/>
              </w:rPr>
              <w:t>晋江仙石</w:t>
            </w:r>
            <w:r>
              <w:rPr>
                <w:rFonts w:hint="default" w:ascii="Times New Roman" w:hAnsi="Times New Roman" w:eastAsia="宋体" w:cs="Times New Roman"/>
                <w:color w:val="auto"/>
                <w:spacing w:val="2"/>
                <w:sz w:val="24"/>
                <w:szCs w:val="24"/>
                <w:highlight w:val="none"/>
                <w:lang w:eastAsia="zh-CN"/>
              </w:rPr>
              <w:t>污水处理厂统一处理。污水厂</w:t>
            </w:r>
            <w:r>
              <w:rPr>
                <w:rFonts w:hint="default" w:ascii="Times New Roman" w:hAnsi="Times New Roman" w:eastAsia="宋体" w:cs="Times New Roman"/>
                <w:color w:val="auto"/>
                <w:spacing w:val="2"/>
                <w:sz w:val="24"/>
                <w:szCs w:val="24"/>
                <w:highlight w:val="none"/>
              </w:rPr>
              <w:t>尾水排放执行GB18918-2002《城镇污水处理厂污染物排放标准》中表1一级A标准</w:t>
            </w:r>
            <w:r>
              <w:rPr>
                <w:rFonts w:hint="default" w:ascii="Times New Roman" w:hAnsi="Times New Roman" w:eastAsia="宋体" w:cs="Times New Roman"/>
                <w:color w:val="auto"/>
                <w:spacing w:val="2"/>
                <w:sz w:val="24"/>
                <w:szCs w:val="24"/>
                <w:highlight w:val="none"/>
                <w:lang w:val="en-US" w:eastAsia="zh-CN"/>
              </w:rPr>
              <w:t>。</w:t>
            </w:r>
          </w:p>
          <w:p w14:paraId="11424B77">
            <w:pPr>
              <w:adjustRightInd w:val="0"/>
              <w:snapToGrid w:val="0"/>
              <w:spacing w:before="0" w:beforeLines="0" w:line="240" w:lineRule="auto"/>
              <w:ind w:firstLine="0" w:firstLineChars="0"/>
              <w:jc w:val="center"/>
              <w:rPr>
                <w:rFonts w:hint="default" w:ascii="Times New Roman" w:hAnsi="Times New Roman" w:eastAsia="宋体" w:cs="Times New Roman"/>
                <w:b/>
                <w:bCs/>
                <w:color w:val="auto"/>
                <w:spacing w:val="2"/>
                <w:sz w:val="24"/>
                <w:highlight w:val="none"/>
                <w:lang w:eastAsia="zh-CN"/>
              </w:rPr>
            </w:pPr>
            <w:r>
              <w:rPr>
                <w:rFonts w:hint="default" w:ascii="Times New Roman" w:hAnsi="Times New Roman" w:eastAsia="宋体" w:cs="Times New Roman"/>
                <w:b/>
                <w:bCs/>
                <w:color w:val="auto"/>
                <w:spacing w:val="2"/>
                <w:sz w:val="24"/>
                <w:highlight w:val="none"/>
                <w:lang w:eastAsia="zh-CN"/>
              </w:rPr>
              <w:t>表</w:t>
            </w:r>
            <w:r>
              <w:rPr>
                <w:rFonts w:hint="default" w:ascii="Times New Roman" w:hAnsi="Times New Roman" w:eastAsia="宋体" w:cs="Times New Roman"/>
                <w:b/>
                <w:bCs/>
                <w:color w:val="auto"/>
                <w:spacing w:val="2"/>
                <w:sz w:val="24"/>
                <w:highlight w:val="none"/>
                <w:lang w:val="en-US" w:eastAsia="zh-CN"/>
              </w:rPr>
              <w:t>3-</w:t>
            </w:r>
            <w:r>
              <w:rPr>
                <w:rFonts w:hint="eastAsia" w:cs="Times New Roman"/>
                <w:b/>
                <w:bCs/>
                <w:color w:val="auto"/>
                <w:spacing w:val="2"/>
                <w:sz w:val="24"/>
                <w:highlight w:val="none"/>
                <w:lang w:val="en-US" w:eastAsia="zh-CN"/>
              </w:rPr>
              <w:t>6</w:t>
            </w:r>
            <w:r>
              <w:rPr>
                <w:rFonts w:hint="eastAsia" w:ascii="Times New Roman" w:hAnsi="Times New Roman" w:eastAsia="宋体" w:cs="Times New Roman"/>
                <w:b/>
                <w:bCs/>
                <w:color w:val="auto"/>
                <w:spacing w:val="2"/>
                <w:sz w:val="24"/>
                <w:highlight w:val="none"/>
                <w:lang w:val="en-US" w:eastAsia="zh-CN"/>
              </w:rPr>
              <w:t xml:space="preserve"> </w:t>
            </w:r>
            <w:r>
              <w:rPr>
                <w:rFonts w:hint="default" w:ascii="Times New Roman" w:hAnsi="Times New Roman" w:eastAsia="宋体" w:cs="Times New Roman"/>
                <w:b/>
                <w:bCs/>
                <w:color w:val="auto"/>
                <w:spacing w:val="2"/>
                <w:sz w:val="24"/>
                <w:highlight w:val="none"/>
                <w:lang w:val="en-US" w:eastAsia="zh-CN"/>
              </w:rPr>
              <w:t>项目</w:t>
            </w:r>
            <w:r>
              <w:rPr>
                <w:rFonts w:hint="eastAsia" w:ascii="Times New Roman" w:hAnsi="Times New Roman" w:eastAsia="宋体" w:cs="Times New Roman"/>
                <w:b/>
                <w:bCs/>
                <w:color w:val="auto"/>
                <w:spacing w:val="2"/>
                <w:sz w:val="24"/>
                <w:highlight w:val="none"/>
                <w:lang w:val="en-US" w:eastAsia="zh-CN"/>
              </w:rPr>
              <w:t>废水污染物</w:t>
            </w:r>
            <w:r>
              <w:rPr>
                <w:rFonts w:hint="default" w:ascii="Times New Roman" w:hAnsi="Times New Roman" w:eastAsia="宋体" w:cs="Times New Roman"/>
                <w:b/>
                <w:bCs/>
                <w:color w:val="auto"/>
                <w:spacing w:val="2"/>
                <w:sz w:val="24"/>
                <w:highlight w:val="none"/>
                <w:lang w:val="en-US" w:eastAsia="zh-CN"/>
              </w:rPr>
              <w:t xml:space="preserve">排放标准  </w:t>
            </w:r>
            <w:r>
              <w:rPr>
                <w:rFonts w:hint="default" w:ascii="Times New Roman" w:hAnsi="Times New Roman" w:eastAsia="宋体" w:cs="Times New Roman"/>
                <w:b/>
                <w:bCs/>
                <w:color w:val="auto"/>
                <w:spacing w:val="2"/>
                <w:sz w:val="24"/>
                <w:highlight w:val="none"/>
                <w:lang w:eastAsia="zh-CN"/>
              </w:rPr>
              <w:t>单位：mg/L</w:t>
            </w:r>
          </w:p>
          <w:tbl>
            <w:tblPr>
              <w:tblStyle w:val="25"/>
              <w:tblW w:w="49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31"/>
              <w:gridCol w:w="1091"/>
              <w:gridCol w:w="777"/>
              <w:gridCol w:w="750"/>
              <w:gridCol w:w="546"/>
              <w:gridCol w:w="872"/>
              <w:gridCol w:w="1014"/>
            </w:tblGrid>
            <w:tr w14:paraId="777F3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pct"/>
                  <w:noWrap w:val="0"/>
                  <w:vAlign w:val="center"/>
                </w:tcPr>
                <w:p w14:paraId="06C95A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标准</w:t>
                  </w:r>
                </w:p>
              </w:tc>
              <w:tc>
                <w:tcPr>
                  <w:tcW w:w="701" w:type="pct"/>
                  <w:noWrap w:val="0"/>
                  <w:vAlign w:val="center"/>
                </w:tcPr>
                <w:p w14:paraId="25432D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pH</w:t>
                  </w:r>
                </w:p>
                <w:p w14:paraId="22AB91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(无量纲)</w:t>
                  </w:r>
                </w:p>
              </w:tc>
              <w:tc>
                <w:tcPr>
                  <w:tcW w:w="499" w:type="pct"/>
                  <w:noWrap w:val="0"/>
                  <w:vAlign w:val="center"/>
                </w:tcPr>
                <w:p w14:paraId="3F70E9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COD</w:t>
                  </w:r>
                </w:p>
              </w:tc>
              <w:tc>
                <w:tcPr>
                  <w:tcW w:w="481" w:type="pct"/>
                  <w:noWrap w:val="0"/>
                  <w:vAlign w:val="center"/>
                </w:tcPr>
                <w:p w14:paraId="4BA8E8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BOD</w:t>
                  </w:r>
                  <w:r>
                    <w:rPr>
                      <w:rFonts w:hint="default" w:ascii="Times New Roman" w:hAnsi="Times New Roman" w:eastAsia="宋体" w:cs="Times New Roman"/>
                      <w:b w:val="0"/>
                      <w:bCs w:val="0"/>
                      <w:color w:val="auto"/>
                      <w:sz w:val="21"/>
                      <w:szCs w:val="21"/>
                      <w:highlight w:val="none"/>
                      <w:vertAlign w:val="subscript"/>
                    </w:rPr>
                    <w:t>5</w:t>
                  </w:r>
                </w:p>
              </w:tc>
              <w:tc>
                <w:tcPr>
                  <w:tcW w:w="350" w:type="pct"/>
                  <w:noWrap w:val="0"/>
                  <w:vAlign w:val="center"/>
                </w:tcPr>
                <w:p w14:paraId="49451D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SS</w:t>
                  </w:r>
                </w:p>
              </w:tc>
              <w:tc>
                <w:tcPr>
                  <w:tcW w:w="560" w:type="pct"/>
                  <w:noWrap w:val="0"/>
                  <w:vAlign w:val="center"/>
                </w:tcPr>
                <w:p w14:paraId="3A2ABA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-N</w:t>
                  </w:r>
                </w:p>
              </w:tc>
              <w:tc>
                <w:tcPr>
                  <w:tcW w:w="651" w:type="pct"/>
                  <w:noWrap w:val="0"/>
                  <w:vAlign w:val="center"/>
                </w:tcPr>
                <w:p w14:paraId="3250C6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色度</w:t>
                  </w:r>
                </w:p>
                <w:p w14:paraId="67421B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（稀释倍数）</w:t>
                  </w:r>
                </w:p>
              </w:tc>
            </w:tr>
            <w:tr w14:paraId="42226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pct"/>
                  <w:noWrap w:val="0"/>
                  <w:vAlign w:val="center"/>
                </w:tcPr>
                <w:p w14:paraId="36636B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GB8978-1996《污水综合排放标准》表4三级标准</w:t>
                  </w:r>
                </w:p>
              </w:tc>
              <w:tc>
                <w:tcPr>
                  <w:tcW w:w="701" w:type="pct"/>
                  <w:noWrap w:val="0"/>
                  <w:vAlign w:val="center"/>
                </w:tcPr>
                <w:p w14:paraId="2772EC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499" w:type="pct"/>
                  <w:noWrap w:val="0"/>
                  <w:vAlign w:val="center"/>
                </w:tcPr>
                <w:p w14:paraId="19A9F3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481" w:type="pct"/>
                  <w:noWrap w:val="0"/>
                  <w:vAlign w:val="center"/>
                </w:tcPr>
                <w:p w14:paraId="2E40D0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350" w:type="pct"/>
                  <w:noWrap w:val="0"/>
                  <w:vAlign w:val="center"/>
                </w:tcPr>
                <w:p w14:paraId="21F2CF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560" w:type="pct"/>
                  <w:noWrap w:val="0"/>
                  <w:vAlign w:val="center"/>
                </w:tcPr>
                <w:p w14:paraId="00FC8C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superscript"/>
                      <w:lang w:val="en-US" w:eastAsia="zh-CN"/>
                    </w:rPr>
                  </w:pPr>
                  <w:r>
                    <w:rPr>
                      <w:rFonts w:hint="eastAsia" w:ascii="Times New Roman" w:hAnsi="Times New Roman" w:eastAsia="宋体" w:cs="Times New Roman"/>
                      <w:color w:val="auto"/>
                      <w:sz w:val="21"/>
                      <w:szCs w:val="21"/>
                      <w:highlight w:val="none"/>
                      <w:lang w:val="en-US" w:eastAsia="zh-CN"/>
                    </w:rPr>
                    <w:t>/</w:t>
                  </w:r>
                </w:p>
              </w:tc>
              <w:tc>
                <w:tcPr>
                  <w:tcW w:w="651" w:type="pct"/>
                  <w:noWrap w:val="0"/>
                  <w:vAlign w:val="center"/>
                </w:tcPr>
                <w:p w14:paraId="1DCAE7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w:t>
                  </w:r>
                </w:p>
              </w:tc>
            </w:tr>
            <w:tr w14:paraId="7B6AD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pct"/>
                  <w:noWrap w:val="0"/>
                  <w:vAlign w:val="center"/>
                </w:tcPr>
                <w:p w14:paraId="1A2E01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pacing w:val="2"/>
                      <w:sz w:val="21"/>
                      <w:szCs w:val="21"/>
                      <w:highlight w:val="none"/>
                    </w:rPr>
                    <w:t>GB/T31962-2015《污水排入城镇下水道水质标准》</w:t>
                  </w:r>
                  <w:r>
                    <w:rPr>
                      <w:rFonts w:hint="eastAsia" w:ascii="Times New Roman" w:hAnsi="Times New Roman" w:eastAsia="宋体" w:cs="Times New Roman"/>
                      <w:color w:val="auto"/>
                      <w:spacing w:val="2"/>
                      <w:sz w:val="21"/>
                      <w:szCs w:val="21"/>
                      <w:highlight w:val="none"/>
                      <w:lang w:eastAsia="zh-CN"/>
                    </w:rPr>
                    <w:t>表</w:t>
                  </w:r>
                  <w:r>
                    <w:rPr>
                      <w:rFonts w:hint="eastAsia" w:ascii="Times New Roman" w:hAnsi="Times New Roman" w:eastAsia="宋体" w:cs="Times New Roman"/>
                      <w:color w:val="auto"/>
                      <w:spacing w:val="2"/>
                      <w:sz w:val="21"/>
                      <w:szCs w:val="21"/>
                      <w:highlight w:val="none"/>
                      <w:lang w:val="en-US" w:eastAsia="zh-CN"/>
                    </w:rPr>
                    <w:t>1</w:t>
                  </w:r>
                  <w:r>
                    <w:rPr>
                      <w:rFonts w:hint="default" w:ascii="Times New Roman" w:hAnsi="Times New Roman" w:eastAsia="宋体" w:cs="Times New Roman"/>
                      <w:color w:val="auto"/>
                      <w:sz w:val="21"/>
                      <w:szCs w:val="21"/>
                      <w:highlight w:val="none"/>
                      <w:lang w:val="zh-CN"/>
                    </w:rPr>
                    <w:t>表1B等级限值</w:t>
                  </w:r>
                </w:p>
              </w:tc>
              <w:tc>
                <w:tcPr>
                  <w:tcW w:w="701" w:type="pct"/>
                  <w:noWrap w:val="0"/>
                  <w:vAlign w:val="center"/>
                </w:tcPr>
                <w:p w14:paraId="2C85BE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~9</w:t>
                  </w:r>
                  <w:r>
                    <w:rPr>
                      <w:rFonts w:hint="eastAsia" w:ascii="Times New Roman" w:hAnsi="Times New Roman" w:eastAsia="宋体" w:cs="Times New Roman"/>
                      <w:color w:val="auto"/>
                      <w:sz w:val="21"/>
                      <w:szCs w:val="21"/>
                      <w:highlight w:val="none"/>
                      <w:lang w:val="en-US" w:eastAsia="zh-CN"/>
                    </w:rPr>
                    <w:t>.5</w:t>
                  </w:r>
                </w:p>
              </w:tc>
              <w:tc>
                <w:tcPr>
                  <w:tcW w:w="499" w:type="pct"/>
                  <w:noWrap w:val="0"/>
                  <w:vAlign w:val="center"/>
                </w:tcPr>
                <w:p w14:paraId="61BC60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500</w:t>
                  </w:r>
                </w:p>
              </w:tc>
              <w:tc>
                <w:tcPr>
                  <w:tcW w:w="481" w:type="pct"/>
                  <w:noWrap w:val="0"/>
                  <w:vAlign w:val="center"/>
                </w:tcPr>
                <w:p w14:paraId="24ADD1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350</w:t>
                  </w:r>
                </w:p>
              </w:tc>
              <w:tc>
                <w:tcPr>
                  <w:tcW w:w="350" w:type="pct"/>
                  <w:noWrap w:val="0"/>
                  <w:vAlign w:val="center"/>
                </w:tcPr>
                <w:p w14:paraId="7D9E82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400</w:t>
                  </w:r>
                </w:p>
              </w:tc>
              <w:tc>
                <w:tcPr>
                  <w:tcW w:w="560" w:type="pct"/>
                  <w:noWrap w:val="0"/>
                  <w:vAlign w:val="center"/>
                </w:tcPr>
                <w:p w14:paraId="206E18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651" w:type="pct"/>
                  <w:noWrap w:val="0"/>
                  <w:vAlign w:val="center"/>
                </w:tcPr>
                <w:p w14:paraId="76043E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CD2A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4" w:type="pct"/>
                  <w:noWrap w:val="0"/>
                  <w:vAlign w:val="center"/>
                </w:tcPr>
                <w:p w14:paraId="6D900B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项目生活污水排放执行标准</w:t>
                  </w:r>
                </w:p>
              </w:tc>
              <w:tc>
                <w:tcPr>
                  <w:tcW w:w="701" w:type="pct"/>
                  <w:noWrap w:val="0"/>
                  <w:vAlign w:val="center"/>
                </w:tcPr>
                <w:p w14:paraId="19B413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~9</w:t>
                  </w:r>
                </w:p>
              </w:tc>
              <w:tc>
                <w:tcPr>
                  <w:tcW w:w="499" w:type="pct"/>
                  <w:noWrap w:val="0"/>
                  <w:vAlign w:val="center"/>
                </w:tcPr>
                <w:p w14:paraId="6B3DCF0B">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000000"/>
                      <w:sz w:val="21"/>
                      <w:szCs w:val="21"/>
                      <w:highlight w:val="none"/>
                      <w:lang w:val="en-US" w:eastAsia="zh-CN"/>
                    </w:rPr>
                    <w:t>500</w:t>
                  </w:r>
                </w:p>
              </w:tc>
              <w:tc>
                <w:tcPr>
                  <w:tcW w:w="481" w:type="pct"/>
                  <w:noWrap w:val="0"/>
                  <w:vAlign w:val="center"/>
                </w:tcPr>
                <w:p w14:paraId="7D74A6FE">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000000"/>
                      <w:sz w:val="21"/>
                      <w:szCs w:val="21"/>
                      <w:highlight w:val="none"/>
                      <w:lang w:val="en-US" w:eastAsia="zh-CN"/>
                    </w:rPr>
                    <w:t>300</w:t>
                  </w:r>
                </w:p>
              </w:tc>
              <w:tc>
                <w:tcPr>
                  <w:tcW w:w="350" w:type="pct"/>
                  <w:noWrap w:val="0"/>
                  <w:vAlign w:val="center"/>
                </w:tcPr>
                <w:p w14:paraId="4763CEDE">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000000"/>
                      <w:sz w:val="21"/>
                      <w:szCs w:val="21"/>
                      <w:highlight w:val="none"/>
                      <w:lang w:val="en-US" w:eastAsia="zh-CN"/>
                    </w:rPr>
                    <w:t>400</w:t>
                  </w:r>
                </w:p>
              </w:tc>
              <w:tc>
                <w:tcPr>
                  <w:tcW w:w="560" w:type="pct"/>
                  <w:noWrap w:val="0"/>
                  <w:vAlign w:val="center"/>
                </w:tcPr>
                <w:p w14:paraId="36BE388D">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45</w:t>
                  </w:r>
                </w:p>
              </w:tc>
              <w:tc>
                <w:tcPr>
                  <w:tcW w:w="651" w:type="pct"/>
                  <w:noWrap w:val="0"/>
                  <w:vAlign w:val="center"/>
                </w:tcPr>
                <w:p w14:paraId="06BAAFB5">
                  <w:pPr>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64</w:t>
                  </w:r>
                </w:p>
              </w:tc>
            </w:tr>
          </w:tbl>
          <w:p w14:paraId="686E74BA">
            <w:pPr>
              <w:pStyle w:val="57"/>
              <w:spacing w:before="249" w:beforeLines="50" w:line="240" w:lineRule="auto"/>
              <w:ind w:left="0" w:leftChars="0" w:firstLine="0" w:firstLineChars="0"/>
              <w:jc w:val="both"/>
              <w:rPr>
                <w:rFonts w:hint="default" w:ascii="Times New Roman" w:hAnsi="Times New Roman" w:eastAsia="宋体" w:cs="Times New Roman"/>
                <w:b/>
                <w:bCs/>
                <w:color w:val="auto"/>
                <w:spacing w:val="-6"/>
                <w:sz w:val="24"/>
                <w:highlight w:val="none"/>
              </w:rPr>
            </w:pPr>
            <w:r>
              <w:rPr>
                <w:rFonts w:hint="default" w:ascii="Times New Roman" w:hAnsi="Times New Roman" w:eastAsia="宋体" w:cs="Times New Roman"/>
                <w:b/>
                <w:bCs/>
                <w:color w:val="auto"/>
                <w:spacing w:val="-6"/>
                <w:sz w:val="24"/>
                <w:highlight w:val="none"/>
              </w:rPr>
              <w:t>表</w:t>
            </w:r>
            <w:r>
              <w:rPr>
                <w:rFonts w:hint="default" w:ascii="Times New Roman" w:hAnsi="Times New Roman" w:eastAsia="宋体" w:cs="Times New Roman"/>
                <w:b/>
                <w:bCs/>
                <w:color w:val="auto"/>
                <w:spacing w:val="-6"/>
                <w:sz w:val="24"/>
                <w:highlight w:val="none"/>
                <w:lang w:val="en-US" w:eastAsia="zh-CN"/>
              </w:rPr>
              <w:t>3-</w:t>
            </w:r>
            <w:r>
              <w:rPr>
                <w:rFonts w:hint="eastAsia" w:eastAsia="宋体" w:cs="Times New Roman"/>
                <w:b/>
                <w:bCs/>
                <w:color w:val="auto"/>
                <w:spacing w:val="-6"/>
                <w:sz w:val="24"/>
                <w:highlight w:val="none"/>
                <w:lang w:val="en-US" w:eastAsia="zh-CN"/>
              </w:rPr>
              <w:t>7</w:t>
            </w:r>
            <w:r>
              <w:rPr>
                <w:rFonts w:hint="eastAsia" w:ascii="Times New Roman" w:hAnsi="Times New Roman" w:eastAsia="宋体" w:cs="Times New Roman"/>
                <w:b/>
                <w:bCs/>
                <w:color w:val="auto"/>
                <w:spacing w:val="-6"/>
                <w:sz w:val="24"/>
                <w:highlight w:val="none"/>
                <w:lang w:val="en-US" w:eastAsia="zh-CN"/>
              </w:rPr>
              <w:t xml:space="preserve"> </w:t>
            </w:r>
            <w:r>
              <w:rPr>
                <w:rFonts w:hint="default" w:ascii="Times New Roman" w:hAnsi="Times New Roman" w:eastAsia="宋体" w:cs="Times New Roman"/>
                <w:b/>
                <w:bCs/>
                <w:color w:val="auto"/>
                <w:spacing w:val="-6"/>
                <w:sz w:val="24"/>
                <w:highlight w:val="none"/>
              </w:rPr>
              <w:t>GB18918-2002《城镇污水处理厂污染物排放标准》表1一级A标准</w:t>
            </w:r>
          </w:p>
          <w:tbl>
            <w:tblPr>
              <w:tblStyle w:val="25"/>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25"/>
              <w:gridCol w:w="1050"/>
              <w:gridCol w:w="1009"/>
              <w:gridCol w:w="1077"/>
              <w:gridCol w:w="1077"/>
              <w:gridCol w:w="1119"/>
              <w:gridCol w:w="1384"/>
            </w:tblGrid>
            <w:tr w14:paraId="704BE3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7" w:type="pct"/>
                  <w:tcBorders>
                    <w:tl2br w:val="nil"/>
                    <w:tr2bl w:val="nil"/>
                  </w:tcBorders>
                  <w:noWrap w:val="0"/>
                  <w:vAlign w:val="center"/>
                </w:tcPr>
                <w:p w14:paraId="4C13CE74">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w:t>
                  </w:r>
                </w:p>
              </w:tc>
              <w:tc>
                <w:tcPr>
                  <w:tcW w:w="669" w:type="pct"/>
                  <w:tcBorders>
                    <w:tl2br w:val="nil"/>
                    <w:tr2bl w:val="nil"/>
                  </w:tcBorders>
                  <w:noWrap w:val="0"/>
                  <w:vAlign w:val="center"/>
                </w:tcPr>
                <w:p w14:paraId="79D129C8">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pH</w:t>
                  </w:r>
                </w:p>
                <w:p w14:paraId="796E152B">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(无量纲)</w:t>
                  </w:r>
                </w:p>
              </w:tc>
              <w:tc>
                <w:tcPr>
                  <w:tcW w:w="643" w:type="pct"/>
                  <w:tcBorders>
                    <w:tl2br w:val="nil"/>
                    <w:tr2bl w:val="nil"/>
                  </w:tcBorders>
                  <w:noWrap w:val="0"/>
                  <w:vAlign w:val="center"/>
                </w:tcPr>
                <w:p w14:paraId="345D73A5">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COD</w:t>
                  </w:r>
                  <w:r>
                    <w:rPr>
                      <w:rFonts w:hint="default" w:ascii="Times New Roman" w:hAnsi="Times New Roman" w:eastAsia="宋体" w:cs="Times New Roman"/>
                      <w:b w:val="0"/>
                      <w:bCs w:val="0"/>
                      <w:color w:val="auto"/>
                      <w:sz w:val="21"/>
                      <w:szCs w:val="21"/>
                      <w:highlight w:val="none"/>
                      <w:vertAlign w:val="subscript"/>
                    </w:rPr>
                    <w:t>Cr</w:t>
                  </w:r>
                </w:p>
                <w:p w14:paraId="2C60F500">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(mg/L)</w:t>
                  </w:r>
                </w:p>
              </w:tc>
              <w:tc>
                <w:tcPr>
                  <w:tcW w:w="686" w:type="pct"/>
                  <w:tcBorders>
                    <w:tl2br w:val="nil"/>
                    <w:tr2bl w:val="nil"/>
                  </w:tcBorders>
                  <w:noWrap w:val="0"/>
                  <w:vAlign w:val="center"/>
                </w:tcPr>
                <w:p w14:paraId="125F23D6">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BOD</w:t>
                  </w:r>
                  <w:r>
                    <w:rPr>
                      <w:rFonts w:hint="default" w:ascii="Times New Roman" w:hAnsi="Times New Roman" w:eastAsia="宋体" w:cs="Times New Roman"/>
                      <w:b w:val="0"/>
                      <w:bCs w:val="0"/>
                      <w:color w:val="auto"/>
                      <w:sz w:val="21"/>
                      <w:szCs w:val="21"/>
                      <w:highlight w:val="none"/>
                      <w:vertAlign w:val="subscript"/>
                    </w:rPr>
                    <w:t>5</w:t>
                  </w:r>
                </w:p>
                <w:p w14:paraId="28949E55">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(mg/L)</w:t>
                  </w:r>
                </w:p>
              </w:tc>
              <w:tc>
                <w:tcPr>
                  <w:tcW w:w="686" w:type="pct"/>
                  <w:tcBorders>
                    <w:tl2br w:val="nil"/>
                    <w:tr2bl w:val="nil"/>
                  </w:tcBorders>
                  <w:noWrap w:val="0"/>
                  <w:vAlign w:val="center"/>
                </w:tcPr>
                <w:p w14:paraId="28467D6C">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SS</w:t>
                  </w:r>
                </w:p>
                <w:p w14:paraId="21499CAA">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(mg/L)</w:t>
                  </w:r>
                </w:p>
              </w:tc>
              <w:tc>
                <w:tcPr>
                  <w:tcW w:w="713" w:type="pct"/>
                  <w:tcBorders>
                    <w:tl2br w:val="nil"/>
                    <w:tr2bl w:val="nil"/>
                  </w:tcBorders>
                  <w:noWrap w:val="0"/>
                  <w:vAlign w:val="center"/>
                </w:tcPr>
                <w:p w14:paraId="5C75BE14">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-N</w:t>
                  </w:r>
                </w:p>
                <w:p w14:paraId="2D10577D">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（mg/L）</w:t>
                  </w:r>
                </w:p>
              </w:tc>
              <w:tc>
                <w:tcPr>
                  <w:tcW w:w="882" w:type="pct"/>
                  <w:tcBorders>
                    <w:tl2br w:val="nil"/>
                    <w:tr2bl w:val="nil"/>
                  </w:tcBorders>
                  <w:noWrap w:val="0"/>
                  <w:vAlign w:val="center"/>
                </w:tcPr>
                <w:p w14:paraId="46A2E5EA">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色度</w:t>
                  </w:r>
                </w:p>
                <w:p w14:paraId="5E1AB6AF">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（稀释倍数）</w:t>
                  </w:r>
                </w:p>
              </w:tc>
            </w:tr>
            <w:tr w14:paraId="0F1023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7" w:type="pct"/>
                  <w:tcBorders>
                    <w:tl2br w:val="nil"/>
                    <w:tr2bl w:val="nil"/>
                  </w:tcBorders>
                  <w:noWrap w:val="0"/>
                  <w:vAlign w:val="center"/>
                </w:tcPr>
                <w:p w14:paraId="40A8DAD1">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一级A标准</w:t>
                  </w:r>
                </w:p>
              </w:tc>
              <w:tc>
                <w:tcPr>
                  <w:tcW w:w="669" w:type="pct"/>
                  <w:tcBorders>
                    <w:tl2br w:val="nil"/>
                    <w:tr2bl w:val="nil"/>
                  </w:tcBorders>
                  <w:noWrap w:val="0"/>
                  <w:vAlign w:val="center"/>
                </w:tcPr>
                <w:p w14:paraId="36DF5094">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643" w:type="pct"/>
                  <w:tcBorders>
                    <w:tl2br w:val="nil"/>
                    <w:tr2bl w:val="nil"/>
                  </w:tcBorders>
                  <w:noWrap w:val="0"/>
                  <w:vAlign w:val="center"/>
                </w:tcPr>
                <w:p w14:paraId="6CD5994E">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686" w:type="pct"/>
                  <w:tcBorders>
                    <w:tl2br w:val="nil"/>
                    <w:tr2bl w:val="nil"/>
                  </w:tcBorders>
                  <w:noWrap w:val="0"/>
                  <w:vAlign w:val="center"/>
                </w:tcPr>
                <w:p w14:paraId="257022F6">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686" w:type="pct"/>
                  <w:tcBorders>
                    <w:tl2br w:val="nil"/>
                    <w:tr2bl w:val="nil"/>
                  </w:tcBorders>
                  <w:noWrap w:val="0"/>
                  <w:vAlign w:val="center"/>
                </w:tcPr>
                <w:p w14:paraId="0E1AAAC5">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713" w:type="pct"/>
                  <w:tcBorders>
                    <w:tl2br w:val="nil"/>
                    <w:tr2bl w:val="nil"/>
                  </w:tcBorders>
                  <w:noWrap w:val="0"/>
                  <w:vAlign w:val="center"/>
                </w:tcPr>
                <w:p w14:paraId="169DA08F">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882" w:type="pct"/>
                  <w:tcBorders>
                    <w:tl2br w:val="nil"/>
                    <w:tr2bl w:val="nil"/>
                  </w:tcBorders>
                  <w:noWrap w:val="0"/>
                  <w:vAlign w:val="center"/>
                </w:tcPr>
                <w:p w14:paraId="03981D1B">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r>
          </w:tbl>
          <w:p w14:paraId="4162A8B8">
            <w:pPr>
              <w:pStyle w:val="54"/>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outlineLvl w:val="2"/>
              <w:rPr>
                <w:rFonts w:hint="default" w:ascii="Times New Roman" w:hAnsi="Times New Roman" w:eastAsia="宋体" w:cs="Times New Roman"/>
                <w:b/>
                <w:bCs w:val="0"/>
                <w:color w:val="auto"/>
                <w:kern w:val="2"/>
                <w:sz w:val="24"/>
                <w:szCs w:val="24"/>
                <w:highlight w:val="none"/>
                <w:lang w:val="en-US" w:eastAsia="zh-CN" w:bidi="ar-SA"/>
              </w:rPr>
            </w:pPr>
          </w:p>
          <w:p w14:paraId="5CFB0F9C">
            <w:pPr>
              <w:pStyle w:val="54"/>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outlineLvl w:val="2"/>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w:t>
            </w:r>
            <w:r>
              <w:rPr>
                <w:rFonts w:hint="eastAsia" w:ascii="Times New Roman" w:hAnsi="Times New Roman" w:cs="Times New Roman"/>
                <w:b/>
                <w:bCs w:val="0"/>
                <w:color w:val="auto"/>
                <w:kern w:val="2"/>
                <w:sz w:val="24"/>
                <w:szCs w:val="24"/>
                <w:highlight w:val="none"/>
                <w:lang w:val="en-US" w:eastAsia="zh-CN" w:bidi="ar-SA"/>
              </w:rPr>
              <w:t>7</w:t>
            </w:r>
            <w:r>
              <w:rPr>
                <w:rFonts w:hint="default" w:ascii="Times New Roman" w:hAnsi="Times New Roman" w:eastAsia="宋体" w:cs="Times New Roman"/>
                <w:b/>
                <w:bCs w:val="0"/>
                <w:color w:val="auto"/>
                <w:kern w:val="2"/>
                <w:sz w:val="24"/>
                <w:szCs w:val="24"/>
                <w:highlight w:val="none"/>
                <w:lang w:val="en-US" w:eastAsia="zh-CN" w:bidi="ar-SA"/>
              </w:rPr>
              <w:t>.2废气污染物排放控制标准</w:t>
            </w:r>
          </w:p>
          <w:p w14:paraId="29BD94CD">
            <w:pPr>
              <w:pStyle w:val="87"/>
              <w:widowControl w:val="0"/>
              <w:snapToGrid/>
              <w:spacing w:line="360" w:lineRule="auto"/>
              <w:ind w:left="0" w:firstLine="480" w:firstLineChars="200"/>
              <w:rPr>
                <w:rFonts w:hint="default" w:ascii="Times New Roman" w:hAnsi="Times New Roman" w:cs="Times New Roman"/>
                <w:kern w:val="2"/>
                <w:sz w:val="24"/>
                <w:szCs w:val="24"/>
                <w:highlight w:val="none"/>
                <w:lang w:val="en-US" w:eastAsia="zh-CN"/>
              </w:rPr>
            </w:pPr>
            <w:r>
              <w:rPr>
                <w:rFonts w:hint="default" w:ascii="Times New Roman" w:hAnsi="Times New Roman" w:cs="Times New Roman"/>
                <w:kern w:val="2"/>
                <w:sz w:val="24"/>
                <w:szCs w:val="24"/>
                <w:highlight w:val="none"/>
                <w:lang w:eastAsia="zh-CN"/>
              </w:rPr>
              <w:t>（</w:t>
            </w:r>
            <w:r>
              <w:rPr>
                <w:rFonts w:hint="default" w:ascii="Times New Roman" w:hAnsi="Times New Roman" w:cs="Times New Roman"/>
                <w:kern w:val="2"/>
                <w:sz w:val="24"/>
                <w:szCs w:val="24"/>
                <w:highlight w:val="none"/>
                <w:lang w:val="en-US" w:eastAsia="zh-CN"/>
              </w:rPr>
              <w:t>1）有组织排放废气</w:t>
            </w:r>
          </w:p>
          <w:p w14:paraId="4E9815EE">
            <w:pPr>
              <w:pStyle w:val="87"/>
              <w:widowControl w:val="0"/>
              <w:snapToGrid/>
              <w:spacing w:line="360" w:lineRule="auto"/>
              <w:ind w:left="0" w:firstLine="480" w:firstLineChars="200"/>
              <w:rPr>
                <w:rFonts w:hint="eastAsia" w:ascii="Times New Roman" w:cs="Times New Roman"/>
                <w:kern w:val="2"/>
                <w:sz w:val="24"/>
                <w:szCs w:val="24"/>
                <w:highlight w:val="none"/>
                <w:lang w:val="en-US" w:eastAsia="zh-CN"/>
              </w:rPr>
            </w:pPr>
            <w:r>
              <w:rPr>
                <w:rFonts w:hint="eastAsia" w:ascii="Times New Roman" w:cs="Times New Roman"/>
                <w:kern w:val="2"/>
                <w:sz w:val="24"/>
                <w:szCs w:val="24"/>
                <w:highlight w:val="none"/>
                <w:lang w:val="en-US" w:eastAsia="zh-CN"/>
              </w:rPr>
              <w:t>①液化气废气</w:t>
            </w:r>
          </w:p>
          <w:p w14:paraId="1F609966">
            <w:pPr>
              <w:pStyle w:val="63"/>
              <w:spacing w:beforeLines="0" w:afterLines="0" w:line="360" w:lineRule="auto"/>
              <w:ind w:left="0" w:right="0" w:firstLine="480" w:firstLineChars="200"/>
              <w:jc w:val="both"/>
              <w:rPr>
                <w:rFonts w:hint="default" w:cs="Times New Roman"/>
                <w:sz w:val="24"/>
                <w:szCs w:val="24"/>
                <w:highlight w:val="none"/>
                <w:lang w:val="en-US" w:eastAsia="zh-CN"/>
              </w:rPr>
            </w:pPr>
            <w:r>
              <w:rPr>
                <w:rFonts w:hint="eastAsia" w:ascii="Times New Roman" w:cs="Times New Roman"/>
                <w:kern w:val="2"/>
                <w:sz w:val="24"/>
                <w:szCs w:val="24"/>
                <w:highlight w:val="none"/>
                <w:u w:val="none"/>
                <w:lang w:eastAsia="zh-CN"/>
              </w:rPr>
              <w:t>项目</w:t>
            </w:r>
            <w:r>
              <w:rPr>
                <w:rFonts w:hint="eastAsia" w:cs="Times New Roman"/>
                <w:kern w:val="2"/>
                <w:sz w:val="24"/>
                <w:szCs w:val="24"/>
                <w:highlight w:val="none"/>
                <w:u w:val="none"/>
                <w:lang w:eastAsia="zh-CN"/>
              </w:rPr>
              <w:t>丝印</w:t>
            </w:r>
            <w:r>
              <w:rPr>
                <w:rFonts w:hint="eastAsia" w:ascii="Times New Roman" w:cs="Times New Roman"/>
                <w:kern w:val="2"/>
                <w:sz w:val="24"/>
                <w:szCs w:val="24"/>
                <w:highlight w:val="none"/>
                <w:u w:val="none"/>
                <w:lang w:eastAsia="zh-CN"/>
              </w:rPr>
              <w:t>烘干工艺</w:t>
            </w:r>
            <w:r>
              <w:rPr>
                <w:rFonts w:hint="eastAsia" w:cs="Times New Roman"/>
                <w:sz w:val="24"/>
                <w:szCs w:val="24"/>
                <w:highlight w:val="none"/>
                <w:lang w:val="en-US" w:eastAsia="zh-CN"/>
              </w:rPr>
              <w:t>加热过程采用液化气作为燃料，主要的污染因子为二氧化硫、氮氧化物、颗粒物，燃烧不涉及锅炉、炉窑，故燃料废气排放执行GB16297-1996《大气污染物综合排放标准》表2二级标准</w:t>
            </w:r>
            <w:r>
              <w:rPr>
                <w:rFonts w:ascii="Times New Roman"/>
                <w:bCs/>
                <w:color w:val="auto"/>
                <w:kern w:val="2"/>
                <w:sz w:val="24"/>
                <w:szCs w:val="24"/>
                <w:highlight w:val="none"/>
              </w:rPr>
              <w:t>，见</w:t>
            </w:r>
            <w:r>
              <w:rPr>
                <w:rFonts w:hint="eastAsia"/>
                <w:bCs/>
                <w:color w:val="auto"/>
                <w:kern w:val="2"/>
                <w:sz w:val="24"/>
                <w:szCs w:val="24"/>
                <w:highlight w:val="none"/>
                <w:lang w:eastAsia="zh-CN"/>
              </w:rPr>
              <w:t>表</w:t>
            </w:r>
            <w:r>
              <w:rPr>
                <w:rFonts w:hint="eastAsia" w:ascii="Times New Roman" w:cs="Times New Roman"/>
                <w:kern w:val="2"/>
                <w:sz w:val="24"/>
                <w:szCs w:val="24"/>
                <w:highlight w:val="none"/>
                <w:u w:val="none"/>
                <w:lang w:val="en-US" w:eastAsia="zh-CN"/>
              </w:rPr>
              <w:t>3-</w:t>
            </w:r>
            <w:r>
              <w:rPr>
                <w:rFonts w:hint="eastAsia" w:cs="Times New Roman"/>
                <w:kern w:val="2"/>
                <w:sz w:val="24"/>
                <w:szCs w:val="24"/>
                <w:highlight w:val="none"/>
                <w:u w:val="none"/>
                <w:lang w:val="en-US" w:eastAsia="zh-CN"/>
              </w:rPr>
              <w:t>8</w:t>
            </w:r>
            <w:r>
              <w:rPr>
                <w:rFonts w:ascii="Times New Roman"/>
                <w:bCs/>
                <w:color w:val="auto"/>
                <w:kern w:val="2"/>
                <w:sz w:val="24"/>
                <w:szCs w:val="24"/>
                <w:highlight w:val="none"/>
              </w:rPr>
              <w:t>。</w:t>
            </w:r>
          </w:p>
          <w:p w14:paraId="4DCE287B">
            <w:pPr>
              <w:adjustRightInd w:val="0"/>
              <w:jc w:val="center"/>
              <w:rPr>
                <w:b/>
                <w:bCs/>
                <w:color w:val="auto"/>
                <w:sz w:val="24"/>
                <w:szCs w:val="22"/>
                <w:highlight w:val="none"/>
              </w:rPr>
            </w:pPr>
            <w:bookmarkStart w:id="22" w:name="_Ref57883559"/>
            <w:r>
              <w:rPr>
                <w:rFonts w:hint="eastAsia"/>
                <w:b/>
                <w:bCs/>
                <w:color w:val="auto"/>
                <w:sz w:val="24"/>
                <w:szCs w:val="22"/>
                <w:highlight w:val="none"/>
              </w:rPr>
              <w:t>表</w:t>
            </w:r>
            <w:r>
              <w:rPr>
                <w:b/>
                <w:bCs/>
                <w:color w:val="auto"/>
                <w:sz w:val="24"/>
                <w:szCs w:val="22"/>
                <w:highlight w:val="none"/>
              </w:rPr>
              <w:t>3-</w:t>
            </w:r>
            <w:bookmarkEnd w:id="22"/>
            <w:r>
              <w:rPr>
                <w:rFonts w:hint="eastAsia"/>
                <w:b/>
                <w:bCs/>
                <w:color w:val="auto"/>
                <w:sz w:val="24"/>
                <w:szCs w:val="22"/>
                <w:highlight w:val="none"/>
                <w:lang w:val="en-US" w:eastAsia="zh-CN"/>
              </w:rPr>
              <w:t>9</w:t>
            </w:r>
            <w:r>
              <w:rPr>
                <w:b/>
                <w:bCs/>
                <w:color w:val="auto"/>
                <w:sz w:val="24"/>
                <w:szCs w:val="22"/>
                <w:highlight w:val="none"/>
              </w:rPr>
              <w:t xml:space="preserve">  </w:t>
            </w:r>
            <w:r>
              <w:rPr>
                <w:rFonts w:hint="eastAsia"/>
                <w:b/>
                <w:bCs/>
                <w:color w:val="auto"/>
                <w:sz w:val="24"/>
                <w:szCs w:val="22"/>
                <w:highlight w:val="none"/>
              </w:rPr>
              <w:t>项目</w:t>
            </w:r>
            <w:r>
              <w:rPr>
                <w:rFonts w:hint="eastAsia"/>
                <w:b/>
                <w:bCs/>
                <w:color w:val="auto"/>
                <w:sz w:val="24"/>
                <w:szCs w:val="22"/>
                <w:highlight w:val="none"/>
                <w:lang w:eastAsia="zh-CN"/>
              </w:rPr>
              <w:t>天然气</w:t>
            </w:r>
            <w:r>
              <w:rPr>
                <w:rFonts w:hint="eastAsia"/>
                <w:b/>
                <w:bCs/>
                <w:color w:val="auto"/>
                <w:sz w:val="24"/>
                <w:szCs w:val="22"/>
                <w:highlight w:val="none"/>
              </w:rPr>
              <w:t>废气执行排放标准</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1635"/>
              <w:gridCol w:w="1515"/>
              <w:gridCol w:w="2646"/>
            </w:tblGrid>
            <w:tr w14:paraId="1B23B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7" w:hRule="exact"/>
                <w:jc w:val="center"/>
              </w:trPr>
              <w:tc>
                <w:tcPr>
                  <w:tcW w:w="1306" w:type="pct"/>
                  <w:noWrap w:val="0"/>
                  <w:vAlign w:val="center"/>
                </w:tcPr>
                <w:p w14:paraId="46F7124E">
                  <w:pPr>
                    <w:widowControl/>
                    <w:adjustRightInd w:val="0"/>
                    <w:snapToGrid w:val="0"/>
                    <w:jc w:val="center"/>
                    <w:rPr>
                      <w:b w:val="0"/>
                      <w:bCs w:val="0"/>
                      <w:color w:val="auto"/>
                      <w:spacing w:val="-6"/>
                      <w:szCs w:val="21"/>
                      <w:highlight w:val="none"/>
                    </w:rPr>
                  </w:pPr>
                  <w:r>
                    <w:rPr>
                      <w:b w:val="0"/>
                      <w:bCs w:val="0"/>
                      <w:color w:val="auto"/>
                      <w:szCs w:val="21"/>
                      <w:highlight w:val="none"/>
                    </w:rPr>
                    <w:t>污染物类别</w:t>
                  </w:r>
                </w:p>
              </w:tc>
              <w:tc>
                <w:tcPr>
                  <w:tcW w:w="1041" w:type="pct"/>
                  <w:noWrap w:val="0"/>
                  <w:vAlign w:val="center"/>
                </w:tcPr>
                <w:p w14:paraId="72C20889">
                  <w:pPr>
                    <w:widowControl/>
                    <w:adjustRightInd w:val="0"/>
                    <w:snapToGrid w:val="0"/>
                    <w:jc w:val="center"/>
                    <w:rPr>
                      <w:b w:val="0"/>
                      <w:bCs w:val="0"/>
                      <w:color w:val="auto"/>
                      <w:spacing w:val="-6"/>
                      <w:szCs w:val="21"/>
                      <w:highlight w:val="none"/>
                    </w:rPr>
                  </w:pPr>
                  <w:r>
                    <w:rPr>
                      <w:rFonts w:hint="eastAsia"/>
                      <w:b w:val="0"/>
                      <w:bCs w:val="0"/>
                      <w:color w:val="auto"/>
                      <w:spacing w:val="-6"/>
                      <w:szCs w:val="21"/>
                      <w:highlight w:val="none"/>
                      <w:lang w:val="en-US" w:eastAsia="zh-CN"/>
                    </w:rPr>
                    <w:t>排放</w:t>
                  </w:r>
                  <w:r>
                    <w:rPr>
                      <w:b w:val="0"/>
                      <w:bCs w:val="0"/>
                      <w:color w:val="auto"/>
                      <w:spacing w:val="-6"/>
                      <w:szCs w:val="21"/>
                      <w:highlight w:val="none"/>
                    </w:rPr>
                    <w:t>限值</w:t>
                  </w:r>
                </w:p>
                <w:p w14:paraId="25326938">
                  <w:pPr>
                    <w:widowControl/>
                    <w:adjustRightInd w:val="0"/>
                    <w:snapToGrid w:val="0"/>
                    <w:jc w:val="center"/>
                    <w:rPr>
                      <w:b w:val="0"/>
                      <w:bCs w:val="0"/>
                      <w:color w:val="auto"/>
                      <w:spacing w:val="-6"/>
                      <w:szCs w:val="21"/>
                      <w:highlight w:val="none"/>
                    </w:rPr>
                  </w:pPr>
                  <w:r>
                    <w:rPr>
                      <w:b w:val="0"/>
                      <w:bCs w:val="0"/>
                      <w:color w:val="auto"/>
                      <w:spacing w:val="-6"/>
                      <w:szCs w:val="21"/>
                      <w:highlight w:val="none"/>
                    </w:rPr>
                    <w:t>（mg/m</w:t>
                  </w:r>
                  <w:r>
                    <w:rPr>
                      <w:b w:val="0"/>
                      <w:bCs w:val="0"/>
                      <w:color w:val="auto"/>
                      <w:spacing w:val="-6"/>
                      <w:szCs w:val="21"/>
                      <w:highlight w:val="none"/>
                      <w:vertAlign w:val="superscript"/>
                    </w:rPr>
                    <w:t>3</w:t>
                  </w:r>
                  <w:r>
                    <w:rPr>
                      <w:b w:val="0"/>
                      <w:bCs w:val="0"/>
                      <w:color w:val="auto"/>
                      <w:spacing w:val="-6"/>
                      <w:szCs w:val="21"/>
                      <w:highlight w:val="none"/>
                    </w:rPr>
                    <w:t>）</w:t>
                  </w:r>
                </w:p>
              </w:tc>
              <w:tc>
                <w:tcPr>
                  <w:tcW w:w="965" w:type="pct"/>
                  <w:noWrap w:val="0"/>
                  <w:vAlign w:val="center"/>
                </w:tcPr>
                <w:p w14:paraId="55459F01">
                  <w:pPr>
                    <w:widowControl/>
                    <w:adjustRightInd w:val="0"/>
                    <w:snapToGrid w:val="0"/>
                    <w:jc w:val="center"/>
                    <w:rPr>
                      <w:rFonts w:hint="eastAsia"/>
                      <w:b w:val="0"/>
                      <w:bCs w:val="0"/>
                      <w:color w:val="auto"/>
                      <w:spacing w:val="-6"/>
                      <w:szCs w:val="21"/>
                      <w:highlight w:val="none"/>
                      <w:lang w:val="en-US" w:eastAsia="zh-CN"/>
                    </w:rPr>
                  </w:pPr>
                  <w:r>
                    <w:rPr>
                      <w:rFonts w:hint="eastAsia"/>
                      <w:b w:val="0"/>
                      <w:bCs w:val="0"/>
                      <w:color w:val="auto"/>
                      <w:spacing w:val="-6"/>
                      <w:szCs w:val="21"/>
                      <w:highlight w:val="none"/>
                      <w:lang w:val="en-US" w:eastAsia="zh-CN"/>
                    </w:rPr>
                    <w:t>排气筒高度</w:t>
                  </w:r>
                </w:p>
                <w:p w14:paraId="39F5DA4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lang w:val="en-US" w:eastAsia="zh-CN"/>
                    </w:rPr>
                  </w:pPr>
                  <w:r>
                    <w:rPr>
                      <w:rFonts w:hint="eastAsia"/>
                      <w:b w:val="0"/>
                      <w:bCs w:val="0"/>
                      <w:color w:val="auto"/>
                      <w:spacing w:val="-6"/>
                      <w:szCs w:val="21"/>
                      <w:highlight w:val="none"/>
                      <w:lang w:val="en-US" w:eastAsia="zh-CN"/>
                    </w:rPr>
                    <w:t>（m）</w:t>
                  </w:r>
                </w:p>
              </w:tc>
              <w:tc>
                <w:tcPr>
                  <w:tcW w:w="1686" w:type="pct"/>
                  <w:noWrap w:val="0"/>
                  <w:vAlign w:val="center"/>
                </w:tcPr>
                <w:p w14:paraId="59A5322D">
                  <w:pPr>
                    <w:widowControl/>
                    <w:adjustRightInd w:val="0"/>
                    <w:snapToGrid w:val="0"/>
                    <w:jc w:val="center"/>
                    <w:rPr>
                      <w:b w:val="0"/>
                      <w:bCs w:val="0"/>
                      <w:color w:val="auto"/>
                      <w:spacing w:val="-6"/>
                      <w:szCs w:val="21"/>
                      <w:highlight w:val="none"/>
                    </w:rPr>
                  </w:pPr>
                  <w:r>
                    <w:rPr>
                      <w:rFonts w:hint="eastAsia"/>
                      <w:b w:val="0"/>
                      <w:bCs w:val="0"/>
                      <w:color w:val="auto"/>
                      <w:spacing w:val="-6"/>
                      <w:szCs w:val="21"/>
                      <w:highlight w:val="none"/>
                      <w:lang w:val="en-US" w:eastAsia="zh-CN"/>
                    </w:rPr>
                    <w:t>最高允许排放速率（kg/h）</w:t>
                  </w:r>
                </w:p>
              </w:tc>
            </w:tr>
            <w:tr w14:paraId="7D702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6" w:type="pct"/>
                  <w:noWrap w:val="0"/>
                  <w:vAlign w:val="center"/>
                </w:tcPr>
                <w:p w14:paraId="2891FBE0">
                  <w:pPr>
                    <w:widowControl/>
                    <w:adjustRightInd w:val="0"/>
                    <w:snapToGrid w:val="0"/>
                    <w:jc w:val="center"/>
                    <w:rPr>
                      <w:color w:val="auto"/>
                      <w:szCs w:val="21"/>
                      <w:highlight w:val="none"/>
                    </w:rPr>
                  </w:pPr>
                  <w:r>
                    <w:rPr>
                      <w:color w:val="auto"/>
                      <w:szCs w:val="21"/>
                      <w:highlight w:val="none"/>
                    </w:rPr>
                    <w:t>颗粒物</w:t>
                  </w:r>
                </w:p>
              </w:tc>
              <w:tc>
                <w:tcPr>
                  <w:tcW w:w="1041" w:type="pct"/>
                  <w:noWrap w:val="0"/>
                  <w:vAlign w:val="center"/>
                </w:tcPr>
                <w:p w14:paraId="31F655F5">
                  <w:pPr>
                    <w:widowControl/>
                    <w:adjustRightInd w:val="0"/>
                    <w:snapToGrid w:val="0"/>
                    <w:jc w:val="center"/>
                    <w:rPr>
                      <w:color w:val="auto"/>
                      <w:szCs w:val="21"/>
                      <w:highlight w:val="none"/>
                    </w:rPr>
                  </w:pPr>
                  <w:r>
                    <w:rPr>
                      <w:rFonts w:hint="eastAsia"/>
                      <w:color w:val="auto"/>
                      <w:szCs w:val="21"/>
                      <w:highlight w:val="none"/>
                      <w:lang w:val="en-US" w:eastAsia="zh-CN"/>
                    </w:rPr>
                    <w:t>1</w:t>
                  </w:r>
                  <w:r>
                    <w:rPr>
                      <w:color w:val="auto"/>
                      <w:szCs w:val="21"/>
                      <w:highlight w:val="none"/>
                    </w:rPr>
                    <w:t>20</w:t>
                  </w:r>
                </w:p>
              </w:tc>
              <w:tc>
                <w:tcPr>
                  <w:tcW w:w="965" w:type="pct"/>
                  <w:noWrap w:val="0"/>
                  <w:vAlign w:val="center"/>
                </w:tcPr>
                <w:p w14:paraId="426CB787">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1686" w:type="pct"/>
                  <w:noWrap w:val="0"/>
                  <w:vAlign w:val="center"/>
                </w:tcPr>
                <w:p w14:paraId="33C222E3">
                  <w:pPr>
                    <w:widowControl/>
                    <w:adjustRightInd w:val="0"/>
                    <w:snapToGrid w:val="0"/>
                    <w:jc w:val="center"/>
                    <w:rPr>
                      <w:color w:val="auto"/>
                      <w:szCs w:val="21"/>
                      <w:highlight w:val="none"/>
                    </w:rPr>
                  </w:pPr>
                  <w:r>
                    <w:rPr>
                      <w:rFonts w:hint="eastAsia"/>
                      <w:color w:val="auto"/>
                      <w:szCs w:val="21"/>
                      <w:highlight w:val="none"/>
                      <w:lang w:val="en-US" w:eastAsia="zh-CN"/>
                    </w:rPr>
                    <w:t>5.9</w:t>
                  </w:r>
                </w:p>
              </w:tc>
            </w:tr>
            <w:tr w14:paraId="4EEB7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6" w:type="pct"/>
                  <w:noWrap w:val="0"/>
                  <w:vAlign w:val="center"/>
                </w:tcPr>
                <w:p w14:paraId="7BF35E71">
                  <w:pPr>
                    <w:widowControl/>
                    <w:adjustRightInd w:val="0"/>
                    <w:snapToGrid w:val="0"/>
                    <w:jc w:val="center"/>
                    <w:rPr>
                      <w:color w:val="auto"/>
                      <w:szCs w:val="21"/>
                      <w:highlight w:val="none"/>
                    </w:rPr>
                  </w:pPr>
                  <w:r>
                    <w:rPr>
                      <w:color w:val="auto"/>
                      <w:szCs w:val="21"/>
                      <w:highlight w:val="none"/>
                    </w:rPr>
                    <w:t>SO</w:t>
                  </w:r>
                  <w:r>
                    <w:rPr>
                      <w:color w:val="auto"/>
                      <w:szCs w:val="21"/>
                      <w:highlight w:val="none"/>
                      <w:vertAlign w:val="subscript"/>
                    </w:rPr>
                    <w:t>2</w:t>
                  </w:r>
                </w:p>
              </w:tc>
              <w:tc>
                <w:tcPr>
                  <w:tcW w:w="1041" w:type="pct"/>
                  <w:noWrap w:val="0"/>
                  <w:vAlign w:val="center"/>
                </w:tcPr>
                <w:p w14:paraId="77CFFA2F">
                  <w:pPr>
                    <w:widowControl/>
                    <w:adjustRightInd w:val="0"/>
                    <w:snapToGrid w:val="0"/>
                    <w:jc w:val="center"/>
                    <w:rPr>
                      <w:color w:val="auto"/>
                      <w:szCs w:val="21"/>
                      <w:highlight w:val="none"/>
                    </w:rPr>
                  </w:pPr>
                  <w:r>
                    <w:rPr>
                      <w:color w:val="auto"/>
                      <w:szCs w:val="21"/>
                      <w:highlight w:val="none"/>
                    </w:rPr>
                    <w:t>5</w:t>
                  </w:r>
                  <w:r>
                    <w:rPr>
                      <w:rFonts w:hint="eastAsia"/>
                      <w:color w:val="auto"/>
                      <w:szCs w:val="21"/>
                      <w:highlight w:val="none"/>
                      <w:lang w:val="en-US" w:eastAsia="zh-CN"/>
                    </w:rPr>
                    <w:t>5</w:t>
                  </w:r>
                  <w:r>
                    <w:rPr>
                      <w:color w:val="auto"/>
                      <w:szCs w:val="21"/>
                      <w:highlight w:val="none"/>
                    </w:rPr>
                    <w:t>0</w:t>
                  </w:r>
                </w:p>
              </w:tc>
              <w:tc>
                <w:tcPr>
                  <w:tcW w:w="965" w:type="pct"/>
                  <w:noWrap w:val="0"/>
                  <w:vAlign w:val="center"/>
                </w:tcPr>
                <w:p w14:paraId="666774B9">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1686" w:type="pct"/>
                  <w:noWrap w:val="0"/>
                  <w:vAlign w:val="center"/>
                </w:tcPr>
                <w:p w14:paraId="67447923">
                  <w:pPr>
                    <w:jc w:val="center"/>
                    <w:rPr>
                      <w:color w:val="auto"/>
                      <w:szCs w:val="21"/>
                      <w:highlight w:val="none"/>
                    </w:rPr>
                  </w:pPr>
                  <w:r>
                    <w:rPr>
                      <w:rFonts w:hint="eastAsia"/>
                      <w:color w:val="auto"/>
                      <w:szCs w:val="21"/>
                      <w:highlight w:val="none"/>
                      <w:lang w:val="en-US" w:eastAsia="zh-CN"/>
                    </w:rPr>
                    <w:t>4.3</w:t>
                  </w:r>
                </w:p>
              </w:tc>
            </w:tr>
            <w:tr w14:paraId="76F84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6" w:type="pct"/>
                  <w:noWrap w:val="0"/>
                  <w:vAlign w:val="center"/>
                </w:tcPr>
                <w:p w14:paraId="7481BD9B">
                  <w:pPr>
                    <w:widowControl/>
                    <w:adjustRightInd w:val="0"/>
                    <w:snapToGrid w:val="0"/>
                    <w:jc w:val="center"/>
                    <w:rPr>
                      <w:color w:val="auto"/>
                      <w:szCs w:val="21"/>
                      <w:highlight w:val="none"/>
                    </w:rPr>
                  </w:pPr>
                  <w:r>
                    <w:rPr>
                      <w:color w:val="auto"/>
                      <w:szCs w:val="21"/>
                      <w:highlight w:val="none"/>
                    </w:rPr>
                    <w:t>NO</w:t>
                  </w:r>
                  <w:r>
                    <w:rPr>
                      <w:color w:val="auto"/>
                      <w:szCs w:val="21"/>
                      <w:highlight w:val="none"/>
                      <w:vertAlign w:val="subscript"/>
                    </w:rPr>
                    <w:t>X</w:t>
                  </w:r>
                </w:p>
              </w:tc>
              <w:tc>
                <w:tcPr>
                  <w:tcW w:w="1041" w:type="pct"/>
                  <w:noWrap w:val="0"/>
                  <w:vAlign w:val="center"/>
                </w:tcPr>
                <w:p w14:paraId="49BB377A">
                  <w:pPr>
                    <w:widowControl/>
                    <w:adjustRightInd w:val="0"/>
                    <w:snapToGrid w:val="0"/>
                    <w:jc w:val="center"/>
                    <w:rPr>
                      <w:color w:val="auto"/>
                      <w:szCs w:val="21"/>
                      <w:highlight w:val="none"/>
                    </w:rPr>
                  </w:pPr>
                  <w:r>
                    <w:rPr>
                      <w:color w:val="auto"/>
                      <w:szCs w:val="21"/>
                      <w:highlight w:val="none"/>
                    </w:rPr>
                    <w:t>2</w:t>
                  </w:r>
                  <w:r>
                    <w:rPr>
                      <w:rFonts w:hint="eastAsia"/>
                      <w:color w:val="auto"/>
                      <w:szCs w:val="21"/>
                      <w:highlight w:val="none"/>
                      <w:lang w:val="en-US" w:eastAsia="zh-CN"/>
                    </w:rPr>
                    <w:t>4</w:t>
                  </w:r>
                  <w:r>
                    <w:rPr>
                      <w:color w:val="auto"/>
                      <w:szCs w:val="21"/>
                      <w:highlight w:val="none"/>
                    </w:rPr>
                    <w:t>0</w:t>
                  </w:r>
                </w:p>
              </w:tc>
              <w:tc>
                <w:tcPr>
                  <w:tcW w:w="965" w:type="pct"/>
                  <w:noWrap w:val="0"/>
                  <w:vAlign w:val="center"/>
                </w:tcPr>
                <w:p w14:paraId="15A45105">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1686" w:type="pct"/>
                  <w:noWrap w:val="0"/>
                  <w:vAlign w:val="center"/>
                </w:tcPr>
                <w:p w14:paraId="643B5249">
                  <w:pPr>
                    <w:jc w:val="center"/>
                    <w:rPr>
                      <w:color w:val="auto"/>
                      <w:szCs w:val="21"/>
                      <w:highlight w:val="none"/>
                    </w:rPr>
                  </w:pPr>
                  <w:r>
                    <w:rPr>
                      <w:rFonts w:hint="eastAsia"/>
                      <w:color w:val="auto"/>
                      <w:szCs w:val="21"/>
                      <w:highlight w:val="none"/>
                      <w:lang w:val="en-US" w:eastAsia="zh-CN"/>
                    </w:rPr>
                    <w:t>1.3</w:t>
                  </w:r>
                </w:p>
              </w:tc>
            </w:tr>
          </w:tbl>
          <w:p w14:paraId="0F56D8DD">
            <w:pPr>
              <w:pStyle w:val="87"/>
              <w:keepNext w:val="0"/>
              <w:keepLines w:val="0"/>
              <w:pageBreakBefore w:val="0"/>
              <w:widowControl w:val="0"/>
              <w:kinsoku/>
              <w:wordWrap/>
              <w:overflowPunct/>
              <w:topLinePunct w:val="0"/>
              <w:autoSpaceDE/>
              <w:autoSpaceDN/>
              <w:bidi w:val="0"/>
              <w:adjustRightInd/>
              <w:snapToGrid/>
              <w:spacing w:before="157" w:beforeLines="50" w:line="360" w:lineRule="auto"/>
              <w:ind w:left="0" w:firstLine="480" w:firstLineChars="200"/>
              <w:textAlignment w:val="bottom"/>
              <w:rPr>
                <w:rFonts w:hint="default" w:ascii="Times New Roman" w:hAnsi="Times New Roman" w:cs="Times New Roman"/>
                <w:kern w:val="2"/>
                <w:sz w:val="24"/>
                <w:szCs w:val="24"/>
                <w:highlight w:val="none"/>
                <w:lang w:val="en-US" w:eastAsia="zh-CN"/>
              </w:rPr>
            </w:pPr>
            <w:r>
              <w:rPr>
                <w:rFonts w:hint="eastAsia" w:ascii="Times New Roman" w:cs="Times New Roman"/>
                <w:kern w:val="2"/>
                <w:sz w:val="24"/>
                <w:szCs w:val="24"/>
                <w:highlight w:val="none"/>
                <w:lang w:val="en-US" w:eastAsia="zh-CN"/>
              </w:rPr>
              <w:t>②有机废气</w:t>
            </w:r>
          </w:p>
          <w:p w14:paraId="0405DCC6">
            <w:pPr>
              <w:pStyle w:val="87"/>
              <w:widowControl w:val="0"/>
              <w:snapToGrid/>
              <w:spacing w:line="360" w:lineRule="auto"/>
              <w:ind w:left="0" w:firstLine="480" w:firstLineChars="200"/>
              <w:rPr>
                <w:rFonts w:hint="default" w:ascii="Times New Roman" w:hAnsi="Times New Roman" w:cs="Times New Roman"/>
                <w:kern w:val="2"/>
                <w:sz w:val="24"/>
                <w:szCs w:val="24"/>
                <w:highlight w:val="none"/>
              </w:rPr>
            </w:pPr>
            <w:r>
              <w:rPr>
                <w:rFonts w:hint="eastAsia" w:ascii="Times New Roman" w:hAnsi="Times New Roman" w:cs="Times New Roman"/>
                <w:kern w:val="2"/>
                <w:sz w:val="24"/>
                <w:szCs w:val="24"/>
                <w:highlight w:val="none"/>
                <w:lang w:eastAsia="zh-CN"/>
              </w:rPr>
              <w:t>本</w:t>
            </w:r>
            <w:r>
              <w:rPr>
                <w:rFonts w:ascii="Times New Roman" w:hAnsi="Times New Roman" w:cs="Times New Roman"/>
                <w:kern w:val="2"/>
                <w:sz w:val="24"/>
                <w:szCs w:val="24"/>
                <w:highlight w:val="none"/>
              </w:rPr>
              <w:t>项目</w:t>
            </w:r>
            <w:r>
              <w:rPr>
                <w:rFonts w:hint="eastAsia" w:ascii="Times New Roman" w:hAnsi="Times New Roman" w:cs="Times New Roman"/>
                <w:kern w:val="2"/>
                <w:sz w:val="24"/>
                <w:szCs w:val="24"/>
                <w:highlight w:val="none"/>
                <w:lang w:eastAsia="zh-CN"/>
              </w:rPr>
              <w:t>制版、调浆、丝印</w:t>
            </w:r>
            <w:r>
              <w:rPr>
                <w:rFonts w:hint="eastAsia" w:ascii="Times New Roman" w:cs="Times New Roman"/>
                <w:kern w:val="2"/>
                <w:sz w:val="24"/>
                <w:szCs w:val="24"/>
                <w:highlight w:val="none"/>
                <w:lang w:eastAsia="zh-CN"/>
              </w:rPr>
              <w:t>、</w:t>
            </w:r>
            <w:r>
              <w:rPr>
                <w:rFonts w:hint="eastAsia" w:ascii="Times New Roman" w:hAnsi="Times New Roman" w:cs="Times New Roman"/>
                <w:kern w:val="2"/>
                <w:sz w:val="24"/>
                <w:szCs w:val="24"/>
                <w:highlight w:val="none"/>
                <w:lang w:eastAsia="zh-CN"/>
              </w:rPr>
              <w:t>烘干和晾干</w:t>
            </w:r>
            <w:r>
              <w:rPr>
                <w:rFonts w:hint="eastAsia" w:ascii="Times New Roman" w:hAnsi="Times New Roman" w:cs="Times New Roman"/>
                <w:kern w:val="2"/>
                <w:sz w:val="24"/>
                <w:szCs w:val="24"/>
                <w:highlight w:val="none"/>
                <w:lang w:val="en-US" w:eastAsia="zh-CN"/>
              </w:rPr>
              <w:t>过程中产生的有机废气，以非甲烷总烃计，</w:t>
            </w:r>
            <w:r>
              <w:rPr>
                <w:rFonts w:hint="eastAsia" w:ascii="Times New Roman" w:cs="Times New Roman"/>
                <w:kern w:val="2"/>
                <w:sz w:val="24"/>
                <w:szCs w:val="24"/>
                <w:highlight w:val="none"/>
                <w:lang w:val="en-US" w:eastAsia="zh-CN"/>
              </w:rPr>
              <w:t>有组织排放</w:t>
            </w:r>
            <w:r>
              <w:rPr>
                <w:rFonts w:hint="eastAsia" w:ascii="Times New Roman" w:hAnsi="Times New Roman" w:cs="Times New Roman"/>
                <w:kern w:val="2"/>
                <w:sz w:val="24"/>
                <w:szCs w:val="24"/>
                <w:highlight w:val="none"/>
                <w:lang w:val="en-US" w:eastAsia="zh-CN"/>
              </w:rPr>
              <w:t>执行DB35/1784-2018《印刷行业挥发性有机物排放标准》“表1排气筒挥发性有机物排放限值”。详见表3-</w:t>
            </w:r>
            <w:r>
              <w:rPr>
                <w:rFonts w:hint="eastAsia" w:ascii="Times New Roman" w:cs="Times New Roman"/>
                <w:kern w:val="2"/>
                <w:sz w:val="24"/>
                <w:szCs w:val="24"/>
                <w:highlight w:val="none"/>
                <w:lang w:val="en-US" w:eastAsia="zh-CN"/>
              </w:rPr>
              <w:t>9</w:t>
            </w:r>
            <w:r>
              <w:rPr>
                <w:rFonts w:hint="eastAsia" w:ascii="Times New Roman" w:hAnsi="Times New Roman" w:cs="Times New Roman"/>
                <w:kern w:val="2"/>
                <w:sz w:val="24"/>
                <w:szCs w:val="24"/>
                <w:highlight w:val="none"/>
                <w:lang w:val="en-US" w:eastAsia="zh-CN"/>
              </w:rPr>
              <w:t>。</w:t>
            </w:r>
          </w:p>
          <w:p w14:paraId="1A6782DC">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color w:val="auto"/>
                <w:sz w:val="24"/>
                <w:szCs w:val="24"/>
                <w:highlight w:val="none"/>
                <w:lang w:bidi="ar"/>
              </w:rPr>
              <w:t>表3-</w:t>
            </w:r>
            <w:r>
              <w:rPr>
                <w:rFonts w:hint="eastAsia" w:cs="Times New Roman"/>
                <w:b/>
                <w:bCs/>
                <w:color w:val="auto"/>
                <w:sz w:val="24"/>
                <w:szCs w:val="24"/>
                <w:highlight w:val="none"/>
                <w:lang w:val="en-US" w:eastAsia="zh-CN" w:bidi="ar"/>
              </w:rPr>
              <w:t>9</w:t>
            </w:r>
            <w:r>
              <w:rPr>
                <w:rFonts w:hint="eastAsia" w:ascii="Times New Roman" w:hAnsi="Times New Roman" w:eastAsia="宋体" w:cs="Times New Roman"/>
                <w:b/>
                <w:bCs/>
                <w:color w:val="auto"/>
                <w:spacing w:val="2"/>
                <w:kern w:val="2"/>
                <w:sz w:val="24"/>
                <w:szCs w:val="24"/>
                <w:highlight w:val="none"/>
                <w:lang w:val="en-US" w:eastAsia="zh-CN" w:bidi="ar-SA"/>
              </w:rPr>
              <w:t>项目有组织废气排放执行标准</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602"/>
              <w:gridCol w:w="2138"/>
              <w:gridCol w:w="2651"/>
            </w:tblGrid>
            <w:tr w14:paraId="0D27DE9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26" w:type="pct"/>
                  <w:vMerge w:val="restart"/>
                  <w:tcBorders>
                    <w:tl2br w:val="nil"/>
                    <w:tr2bl w:val="nil"/>
                  </w:tcBorders>
                  <w:noWrap w:val="0"/>
                  <w:vAlign w:val="center"/>
                </w:tcPr>
                <w:p w14:paraId="16853BBB">
                  <w:pPr>
                    <w:widowControl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kern w:val="0"/>
                      <w:sz w:val="21"/>
                      <w:szCs w:val="21"/>
                      <w:highlight w:val="none"/>
                      <w:lang w:bidi="ar"/>
                    </w:rPr>
                    <w:t>污染物</w:t>
                  </w:r>
                </w:p>
              </w:tc>
              <w:tc>
                <w:tcPr>
                  <w:tcW w:w="1021" w:type="pct"/>
                  <w:vMerge w:val="restart"/>
                  <w:tcBorders>
                    <w:tl2br w:val="nil"/>
                    <w:tr2bl w:val="nil"/>
                  </w:tcBorders>
                  <w:noWrap w:val="0"/>
                  <w:vAlign w:val="center"/>
                </w:tcPr>
                <w:p w14:paraId="2677E7A8">
                  <w:pPr>
                    <w:widowControl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kern w:val="0"/>
                      <w:sz w:val="21"/>
                      <w:szCs w:val="21"/>
                      <w:highlight w:val="none"/>
                      <w:lang w:bidi="ar"/>
                    </w:rPr>
                    <w:t>最高允许排放浓度（mg/m</w:t>
                  </w:r>
                  <w:r>
                    <w:rPr>
                      <w:rFonts w:hint="default" w:ascii="Times New Roman" w:hAnsi="Times New Roman" w:eastAsia="宋体" w:cs="Times New Roman"/>
                      <w:color w:val="000000"/>
                      <w:kern w:val="0"/>
                      <w:sz w:val="21"/>
                      <w:szCs w:val="21"/>
                      <w:highlight w:val="none"/>
                      <w:vertAlign w:val="superscript"/>
                      <w:lang w:bidi="ar"/>
                    </w:rPr>
                    <w:t>3</w:t>
                  </w:r>
                  <w:r>
                    <w:rPr>
                      <w:rFonts w:hint="default" w:ascii="Times New Roman" w:hAnsi="Times New Roman" w:eastAsia="宋体" w:cs="Times New Roman"/>
                      <w:color w:val="000000"/>
                      <w:kern w:val="0"/>
                      <w:sz w:val="21"/>
                      <w:szCs w:val="21"/>
                      <w:highlight w:val="none"/>
                      <w:lang w:bidi="ar"/>
                    </w:rPr>
                    <w:t>）</w:t>
                  </w:r>
                </w:p>
              </w:tc>
              <w:tc>
                <w:tcPr>
                  <w:tcW w:w="3052" w:type="pct"/>
                  <w:gridSpan w:val="2"/>
                  <w:tcBorders>
                    <w:tl2br w:val="nil"/>
                    <w:tr2bl w:val="nil"/>
                  </w:tcBorders>
                  <w:noWrap w:val="0"/>
                  <w:vAlign w:val="center"/>
                </w:tcPr>
                <w:p w14:paraId="3D5495E3">
                  <w:pPr>
                    <w:widowControl w:val="0"/>
                    <w:adjustRightInd w:val="0"/>
                    <w:snapToGrid w:val="0"/>
                    <w:spacing w:line="240" w:lineRule="auto"/>
                    <w:ind w:firstLine="0" w:firstLineChars="0"/>
                    <w:jc w:val="center"/>
                    <w:rPr>
                      <w:rFonts w:hint="eastAsia" w:ascii="Times New Roman" w:hAnsi="Times New Roman" w:eastAsia="宋体" w:cs="Times New Roman"/>
                      <w:color w:val="000000"/>
                      <w:kern w:val="0"/>
                      <w:sz w:val="21"/>
                      <w:szCs w:val="21"/>
                      <w:highlight w:val="none"/>
                      <w:lang w:eastAsia="zh-CN" w:bidi="ar"/>
                    </w:rPr>
                  </w:pPr>
                  <w:r>
                    <w:rPr>
                      <w:rFonts w:hint="default" w:ascii="Times New Roman" w:hAnsi="Times New Roman" w:eastAsia="宋体" w:cs="Times New Roman"/>
                      <w:color w:val="000000"/>
                      <w:kern w:val="0"/>
                      <w:sz w:val="21"/>
                      <w:szCs w:val="21"/>
                      <w:highlight w:val="none"/>
                      <w:lang w:bidi="ar"/>
                    </w:rPr>
                    <w:t>最高允许排放速率（kg/h）</w:t>
                  </w:r>
                </w:p>
              </w:tc>
            </w:tr>
            <w:tr w14:paraId="1DB33EA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6" w:type="pct"/>
                  <w:vMerge w:val="continue"/>
                  <w:tcBorders>
                    <w:tl2br w:val="nil"/>
                    <w:tr2bl w:val="nil"/>
                  </w:tcBorders>
                  <w:noWrap w:val="0"/>
                  <w:vAlign w:val="center"/>
                </w:tcPr>
                <w:p w14:paraId="30C5B8DA">
                  <w:pPr>
                    <w:widowControl w:val="0"/>
                    <w:adjustRightInd w:val="0"/>
                    <w:snapToGrid w:val="0"/>
                    <w:spacing w:line="240" w:lineRule="auto"/>
                    <w:ind w:firstLine="0" w:firstLineChars="0"/>
                    <w:jc w:val="center"/>
                    <w:rPr>
                      <w:highlight w:val="none"/>
                    </w:rPr>
                  </w:pPr>
                </w:p>
              </w:tc>
              <w:tc>
                <w:tcPr>
                  <w:tcW w:w="1021" w:type="pct"/>
                  <w:vMerge w:val="continue"/>
                  <w:tcBorders>
                    <w:tl2br w:val="nil"/>
                    <w:tr2bl w:val="nil"/>
                  </w:tcBorders>
                  <w:noWrap w:val="0"/>
                  <w:vAlign w:val="center"/>
                </w:tcPr>
                <w:p w14:paraId="27824258">
                  <w:pPr>
                    <w:widowControl w:val="0"/>
                    <w:adjustRightInd w:val="0"/>
                    <w:snapToGrid w:val="0"/>
                    <w:spacing w:line="240" w:lineRule="auto"/>
                    <w:ind w:firstLine="0" w:firstLineChars="0"/>
                    <w:jc w:val="center"/>
                    <w:rPr>
                      <w:highlight w:val="none"/>
                    </w:rPr>
                  </w:pPr>
                </w:p>
              </w:tc>
              <w:tc>
                <w:tcPr>
                  <w:tcW w:w="1362" w:type="pct"/>
                  <w:tcBorders>
                    <w:tl2br w:val="nil"/>
                    <w:tr2bl w:val="nil"/>
                  </w:tcBorders>
                  <w:noWrap w:val="0"/>
                  <w:vAlign w:val="center"/>
                </w:tcPr>
                <w:p w14:paraId="68DBDC7A">
                  <w:pPr>
                    <w:widowControl w:val="0"/>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eastAsia="宋体" w:cs="Times New Roman"/>
                      <w:color w:val="000000"/>
                      <w:kern w:val="0"/>
                      <w:sz w:val="21"/>
                      <w:szCs w:val="21"/>
                      <w:highlight w:val="none"/>
                      <w:lang w:eastAsia="zh-CN" w:bidi="ar"/>
                    </w:rPr>
                    <w:t>排气筒（</w:t>
                  </w:r>
                  <w:r>
                    <w:rPr>
                      <w:rFonts w:hint="default" w:ascii="Times New Roman" w:hAnsi="Times New Roman" w:eastAsia="宋体" w:cs="Times New Roman"/>
                      <w:color w:val="000000"/>
                      <w:kern w:val="0"/>
                      <w:sz w:val="21"/>
                      <w:szCs w:val="21"/>
                      <w:highlight w:val="none"/>
                      <w:lang w:val="en-US" w:eastAsia="zh-CN" w:bidi="ar"/>
                    </w:rPr>
                    <w:t>m</w:t>
                  </w:r>
                  <w:r>
                    <w:rPr>
                      <w:rFonts w:hint="default" w:ascii="Times New Roman" w:hAnsi="Times New Roman" w:eastAsia="宋体" w:cs="Times New Roman"/>
                      <w:color w:val="000000"/>
                      <w:kern w:val="0"/>
                      <w:sz w:val="21"/>
                      <w:szCs w:val="21"/>
                      <w:highlight w:val="none"/>
                      <w:lang w:eastAsia="zh-CN" w:bidi="ar"/>
                    </w:rPr>
                    <w:t>）</w:t>
                  </w:r>
                </w:p>
              </w:tc>
              <w:tc>
                <w:tcPr>
                  <w:tcW w:w="1689" w:type="pct"/>
                  <w:tcBorders>
                    <w:tl2br w:val="nil"/>
                    <w:tr2bl w:val="nil"/>
                  </w:tcBorders>
                  <w:noWrap w:val="0"/>
                  <w:vAlign w:val="center"/>
                </w:tcPr>
                <w:p w14:paraId="1B217734">
                  <w:pPr>
                    <w:widowControl w:val="0"/>
                    <w:adjustRightInd w:val="0"/>
                    <w:snapToGrid w:val="0"/>
                    <w:spacing w:line="240" w:lineRule="auto"/>
                    <w:ind w:firstLine="0" w:firstLineChars="0"/>
                    <w:jc w:val="center"/>
                    <w:rPr>
                      <w:rFonts w:hint="eastAsia" w:ascii="Times New Roman" w:hAnsi="Times New Roman" w:eastAsia="宋体" w:cs="Times New Roman"/>
                      <w:color w:val="000000"/>
                      <w:kern w:val="0"/>
                      <w:sz w:val="21"/>
                      <w:szCs w:val="21"/>
                      <w:highlight w:val="none"/>
                      <w:lang w:eastAsia="zh-CN" w:bidi="ar"/>
                    </w:rPr>
                  </w:pPr>
                  <w:r>
                    <w:rPr>
                      <w:rFonts w:hint="eastAsia" w:ascii="Times New Roman" w:hAnsi="Times New Roman" w:eastAsia="宋体" w:cs="Times New Roman"/>
                      <w:color w:val="000000"/>
                      <w:kern w:val="0"/>
                      <w:sz w:val="21"/>
                      <w:szCs w:val="21"/>
                      <w:highlight w:val="none"/>
                      <w:lang w:eastAsia="zh-CN" w:bidi="ar"/>
                    </w:rPr>
                    <w:t>排放速率（</w:t>
                  </w:r>
                  <w:r>
                    <w:rPr>
                      <w:rFonts w:hint="eastAsia" w:ascii="Times New Roman" w:hAnsi="Times New Roman" w:eastAsia="宋体" w:cs="Times New Roman"/>
                      <w:color w:val="000000"/>
                      <w:kern w:val="0"/>
                      <w:sz w:val="21"/>
                      <w:szCs w:val="21"/>
                      <w:highlight w:val="none"/>
                      <w:lang w:val="en-US" w:eastAsia="zh-CN" w:bidi="ar"/>
                    </w:rPr>
                    <w:t>kg/h</w:t>
                  </w:r>
                  <w:r>
                    <w:rPr>
                      <w:rFonts w:hint="eastAsia" w:ascii="Times New Roman" w:hAnsi="Times New Roman" w:eastAsia="宋体" w:cs="Times New Roman"/>
                      <w:color w:val="000000"/>
                      <w:kern w:val="0"/>
                      <w:sz w:val="21"/>
                      <w:szCs w:val="21"/>
                      <w:highlight w:val="none"/>
                      <w:lang w:eastAsia="zh-CN" w:bidi="ar"/>
                    </w:rPr>
                    <w:t>）</w:t>
                  </w:r>
                </w:p>
              </w:tc>
            </w:tr>
            <w:tr w14:paraId="003E989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6" w:type="pct"/>
                  <w:tcBorders>
                    <w:tl2br w:val="nil"/>
                    <w:tr2bl w:val="nil"/>
                  </w:tcBorders>
                  <w:noWrap w:val="0"/>
                  <w:vAlign w:val="center"/>
                </w:tcPr>
                <w:p w14:paraId="1E185FE3">
                  <w:pPr>
                    <w:spacing w:line="240" w:lineRule="auto"/>
                    <w:ind w:firstLine="0" w:firstLineChars="0"/>
                    <w:jc w:val="center"/>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非甲烷总烃</w:t>
                  </w:r>
                </w:p>
              </w:tc>
              <w:tc>
                <w:tcPr>
                  <w:tcW w:w="1021" w:type="pct"/>
                  <w:tcBorders>
                    <w:tl2br w:val="nil"/>
                    <w:tr2bl w:val="nil"/>
                  </w:tcBorders>
                  <w:noWrap w:val="0"/>
                  <w:vAlign w:val="center"/>
                </w:tcPr>
                <w:p w14:paraId="576438A0">
                  <w:pPr>
                    <w:tabs>
                      <w:tab w:val="left" w:pos="493"/>
                      <w:tab w:val="center" w:pos="752"/>
                    </w:tabs>
                    <w:spacing w:line="240" w:lineRule="auto"/>
                    <w:ind w:firstLine="0" w:firstLineChars="0"/>
                    <w:jc w:val="left"/>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ab/>
                  </w:r>
                  <w:r>
                    <w:rPr>
                      <w:rFonts w:hint="eastAsia" w:ascii="Times New Roman" w:hAnsi="Times New Roman" w:eastAsia="宋体" w:cs="Times New Roman"/>
                      <w:b w:val="0"/>
                      <w:bCs w:val="0"/>
                      <w:color w:val="000000"/>
                      <w:sz w:val="21"/>
                      <w:szCs w:val="21"/>
                      <w:highlight w:val="none"/>
                      <w:lang w:val="en-US" w:eastAsia="zh-CN"/>
                    </w:rPr>
                    <w:t>50</w:t>
                  </w:r>
                </w:p>
              </w:tc>
              <w:tc>
                <w:tcPr>
                  <w:tcW w:w="1362" w:type="pct"/>
                  <w:tcBorders>
                    <w:tl2br w:val="nil"/>
                    <w:tr2bl w:val="nil"/>
                  </w:tcBorders>
                  <w:noWrap w:val="0"/>
                  <w:vAlign w:val="center"/>
                </w:tcPr>
                <w:p w14:paraId="39F8A3D5">
                  <w:pPr>
                    <w:spacing w:line="240" w:lineRule="auto"/>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25</w:t>
                  </w:r>
                </w:p>
              </w:tc>
              <w:tc>
                <w:tcPr>
                  <w:tcW w:w="1689" w:type="pct"/>
                  <w:tcBorders>
                    <w:tl2br w:val="nil"/>
                    <w:tr2bl w:val="nil"/>
                  </w:tcBorders>
                  <w:noWrap w:val="0"/>
                  <w:vAlign w:val="center"/>
                </w:tcPr>
                <w:p w14:paraId="4E6EA889">
                  <w:pPr>
                    <w:spacing w:line="240" w:lineRule="auto"/>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1.5</w:t>
                  </w:r>
                </w:p>
              </w:tc>
            </w:tr>
          </w:tbl>
          <w:p w14:paraId="098F4B62">
            <w:pPr>
              <w:pStyle w:val="87"/>
              <w:widowControl w:val="0"/>
              <w:snapToGrid/>
              <w:spacing w:before="249" w:beforeLines="50" w:line="360" w:lineRule="auto"/>
              <w:ind w:left="0" w:firstLine="480" w:firstLineChars="200"/>
              <w:rPr>
                <w:rFonts w:hint="default" w:ascii="Times New Roman" w:hAnsi="Times New Roman" w:cs="Times New Roman"/>
                <w:kern w:val="2"/>
                <w:sz w:val="24"/>
                <w:szCs w:val="24"/>
                <w:highlight w:val="none"/>
                <w:u w:val="none"/>
                <w:lang w:val="en-US" w:eastAsia="zh-CN"/>
              </w:rPr>
            </w:pPr>
            <w:r>
              <w:rPr>
                <w:rFonts w:hint="default" w:ascii="Times New Roman" w:hAnsi="Times New Roman" w:cs="Times New Roman"/>
                <w:kern w:val="2"/>
                <w:sz w:val="24"/>
                <w:szCs w:val="24"/>
                <w:highlight w:val="none"/>
                <w:u w:val="none"/>
                <w:lang w:eastAsia="zh-CN"/>
              </w:rPr>
              <w:t>（</w:t>
            </w:r>
            <w:r>
              <w:rPr>
                <w:rFonts w:hint="default" w:ascii="Times New Roman" w:hAnsi="Times New Roman" w:cs="Times New Roman"/>
                <w:kern w:val="2"/>
                <w:sz w:val="24"/>
                <w:szCs w:val="24"/>
                <w:highlight w:val="none"/>
                <w:u w:val="none"/>
                <w:lang w:val="en-US" w:eastAsia="zh-CN"/>
              </w:rPr>
              <w:t>2）无组织排放废气</w:t>
            </w:r>
          </w:p>
          <w:p w14:paraId="6A86A44D">
            <w:pPr>
              <w:pStyle w:val="87"/>
              <w:widowControl w:val="0"/>
              <w:snapToGrid/>
              <w:spacing w:line="360" w:lineRule="auto"/>
              <w:ind w:left="0" w:firstLine="480" w:firstLineChars="200"/>
              <w:rPr>
                <w:rFonts w:hint="eastAsia" w:ascii="Times New Roman" w:hAnsi="Times New Roman"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项目非甲烷总烃厂区内监控点浓度值1h平均值执行DB35/1784-2018《印刷行业挥发性有机物排放标准》表2中的标准限值</w:t>
            </w:r>
            <w:r>
              <w:rPr>
                <w:rFonts w:hint="default" w:ascii="Times New Roman" w:hAnsi="Times New Roman" w:cs="Times New Roman"/>
                <w:kern w:val="2"/>
                <w:sz w:val="24"/>
                <w:szCs w:val="24"/>
                <w:highlight w:val="none"/>
                <w:lang w:val="en-US" w:eastAsia="zh-CN"/>
              </w:rPr>
              <w:t>。</w:t>
            </w:r>
            <w:r>
              <w:rPr>
                <w:rFonts w:hint="eastAsia" w:ascii="Times New Roman" w:hAnsi="Times New Roman" w:cs="Times New Roman"/>
                <w:kern w:val="2"/>
                <w:sz w:val="24"/>
                <w:szCs w:val="24"/>
                <w:highlight w:val="none"/>
                <w:lang w:val="en-US" w:eastAsia="zh-CN"/>
              </w:rPr>
              <w:t>厂区内非甲烷总烃任意一次浓度执行GB37822-2019《挥发性有机物无组织排放控制标准》表A.1中相关标准。</w:t>
            </w:r>
            <w:r>
              <w:rPr>
                <w:rFonts w:hint="eastAsia" w:ascii="Times New Roman" w:hAnsi="Times New Roman" w:eastAsia="宋体" w:cs="Times New Roman"/>
                <w:color w:val="auto"/>
                <w:spacing w:val="2"/>
                <w:kern w:val="2"/>
                <w:sz w:val="24"/>
                <w:szCs w:val="24"/>
                <w:highlight w:val="none"/>
                <w:lang w:val="en-US" w:eastAsia="zh-CN" w:bidi="ar-SA"/>
              </w:rPr>
              <w:t>非甲烷总烃厂界排放执行</w:t>
            </w:r>
            <w:r>
              <w:rPr>
                <w:rFonts w:hint="default" w:ascii="Times New Roman" w:hAnsi="Times New Roman" w:eastAsia="宋体" w:cs="Times New Roman"/>
                <w:color w:val="auto"/>
                <w:spacing w:val="2"/>
                <w:kern w:val="2"/>
                <w:sz w:val="24"/>
                <w:szCs w:val="24"/>
                <w:highlight w:val="none"/>
                <w:lang w:val="en-US" w:eastAsia="zh-CN" w:bidi="ar-SA"/>
              </w:rPr>
              <w:t>DB35/178</w:t>
            </w:r>
            <w:r>
              <w:rPr>
                <w:rFonts w:hint="eastAsia" w:ascii="Times New Roman" w:hAnsi="Times New Roman" w:eastAsia="宋体" w:cs="Times New Roman"/>
                <w:color w:val="auto"/>
                <w:spacing w:val="2"/>
                <w:kern w:val="2"/>
                <w:sz w:val="24"/>
                <w:szCs w:val="24"/>
                <w:highlight w:val="none"/>
                <w:lang w:val="en-US" w:eastAsia="zh-CN" w:bidi="ar-SA"/>
              </w:rPr>
              <w:t>4</w:t>
            </w:r>
            <w:r>
              <w:rPr>
                <w:rFonts w:hint="default" w:ascii="Times New Roman" w:hAnsi="Times New Roman" w:eastAsia="宋体" w:cs="Times New Roman"/>
                <w:color w:val="auto"/>
                <w:spacing w:val="2"/>
                <w:kern w:val="2"/>
                <w:sz w:val="24"/>
                <w:szCs w:val="24"/>
                <w:highlight w:val="none"/>
                <w:lang w:val="en-US" w:eastAsia="zh-CN" w:bidi="ar-SA"/>
              </w:rPr>
              <w:t>-2018《</w:t>
            </w:r>
            <w:r>
              <w:rPr>
                <w:rFonts w:hint="eastAsia" w:ascii="Times New Roman" w:hAnsi="Times New Roman" w:cs="Times New Roman"/>
                <w:kern w:val="2"/>
                <w:sz w:val="24"/>
                <w:szCs w:val="24"/>
                <w:highlight w:val="none"/>
                <w:lang w:val="en-US" w:eastAsia="zh-CN"/>
              </w:rPr>
              <w:t>印刷行业挥发性有机物排放标准</w:t>
            </w:r>
            <w:r>
              <w:rPr>
                <w:rFonts w:hint="default" w:ascii="Times New Roman" w:hAnsi="Times New Roman" w:eastAsia="宋体" w:cs="Times New Roman"/>
                <w:color w:val="auto"/>
                <w:spacing w:val="2"/>
                <w:kern w:val="2"/>
                <w:sz w:val="24"/>
                <w:szCs w:val="24"/>
                <w:highlight w:val="none"/>
                <w:lang w:val="en-US" w:eastAsia="zh-CN" w:bidi="ar-SA"/>
              </w:rPr>
              <w:t>》</w:t>
            </w:r>
            <w:r>
              <w:rPr>
                <w:rFonts w:hint="eastAsia" w:ascii="Times New Roman" w:hAnsi="Times New Roman" w:eastAsia="宋体" w:cs="Times New Roman"/>
                <w:color w:val="auto"/>
                <w:spacing w:val="2"/>
                <w:kern w:val="2"/>
                <w:sz w:val="24"/>
                <w:szCs w:val="24"/>
                <w:highlight w:val="none"/>
                <w:lang w:val="en-US" w:eastAsia="zh-CN" w:bidi="ar-SA"/>
              </w:rPr>
              <w:t>表3排放限值。</w:t>
            </w:r>
            <w:r>
              <w:rPr>
                <w:rFonts w:hint="eastAsia" w:ascii="Times New Roman" w:hAnsi="Times New Roman" w:cs="Times New Roman"/>
                <w:kern w:val="2"/>
                <w:sz w:val="24"/>
                <w:szCs w:val="24"/>
                <w:highlight w:val="none"/>
                <w:lang w:val="en-US" w:eastAsia="zh-CN"/>
              </w:rPr>
              <w:t>详见表3-</w:t>
            </w:r>
            <w:r>
              <w:rPr>
                <w:rFonts w:hint="eastAsia" w:ascii="Times New Roman" w:cs="Times New Roman"/>
                <w:kern w:val="2"/>
                <w:sz w:val="24"/>
                <w:szCs w:val="24"/>
                <w:highlight w:val="none"/>
                <w:lang w:val="en-US" w:eastAsia="zh-CN"/>
              </w:rPr>
              <w:t>10</w:t>
            </w:r>
            <w:r>
              <w:rPr>
                <w:rFonts w:hint="eastAsia" w:ascii="Times New Roman" w:hAnsi="Times New Roman" w:cs="Times New Roman"/>
                <w:kern w:val="2"/>
                <w:sz w:val="24"/>
                <w:szCs w:val="24"/>
                <w:highlight w:val="none"/>
                <w:lang w:val="en-US" w:eastAsia="zh-CN"/>
              </w:rPr>
              <w:t>。</w:t>
            </w:r>
          </w:p>
          <w:p w14:paraId="548240B0">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outlineLvl w:val="9"/>
              <w:rPr>
                <w:rFonts w:hint="default" w:ascii="Times New Roman" w:hAnsi="Times New Roman" w:eastAsia="宋体" w:cs="Times New Roman"/>
                <w:b/>
                <w:bCs/>
                <w:sz w:val="24"/>
                <w:szCs w:val="22"/>
                <w:highlight w:val="none"/>
                <w:lang w:val="en-US" w:eastAsia="zh-CN"/>
              </w:rPr>
            </w:pPr>
            <w:r>
              <w:rPr>
                <w:rFonts w:hint="default" w:ascii="Times New Roman" w:hAnsi="Times New Roman" w:eastAsia="宋体" w:cs="Times New Roman"/>
                <w:b/>
                <w:bCs/>
                <w:sz w:val="24"/>
                <w:szCs w:val="22"/>
                <w:highlight w:val="none"/>
              </w:rPr>
              <w:t>表3-</w:t>
            </w:r>
            <w:r>
              <w:rPr>
                <w:rFonts w:hint="eastAsia" w:ascii="Times New Roman" w:hAnsi="Times New Roman" w:eastAsia="宋体" w:cs="Times New Roman"/>
                <w:b/>
                <w:bCs/>
                <w:sz w:val="24"/>
                <w:szCs w:val="22"/>
                <w:highlight w:val="none"/>
                <w:lang w:val="en-US" w:eastAsia="zh-CN"/>
              </w:rPr>
              <w:t>1</w:t>
            </w:r>
            <w:r>
              <w:rPr>
                <w:rFonts w:hint="eastAsia" w:cs="Times New Roman"/>
                <w:b/>
                <w:bCs/>
                <w:sz w:val="24"/>
                <w:szCs w:val="22"/>
                <w:highlight w:val="none"/>
                <w:lang w:val="en-US" w:eastAsia="zh-CN"/>
              </w:rPr>
              <w:t>0</w:t>
            </w:r>
            <w:r>
              <w:rPr>
                <w:rFonts w:hint="eastAsia" w:ascii="Times New Roman" w:hAnsi="Times New Roman" w:eastAsia="宋体" w:cs="Times New Roman"/>
                <w:b/>
                <w:bCs/>
                <w:sz w:val="24"/>
                <w:szCs w:val="22"/>
                <w:highlight w:val="none"/>
                <w:lang w:val="en-US" w:eastAsia="zh-CN"/>
              </w:rPr>
              <w:t xml:space="preserve"> </w:t>
            </w:r>
            <w:r>
              <w:rPr>
                <w:rFonts w:hint="default" w:ascii="Times New Roman" w:hAnsi="Times New Roman" w:eastAsia="宋体" w:cs="Times New Roman"/>
                <w:b/>
                <w:bCs/>
                <w:sz w:val="24"/>
                <w:szCs w:val="22"/>
                <w:highlight w:val="none"/>
                <w:lang w:val="en-US" w:eastAsia="zh-CN"/>
              </w:rPr>
              <w:t>项目废气无组织排放标准</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91"/>
              <w:gridCol w:w="881"/>
              <w:gridCol w:w="1410"/>
              <w:gridCol w:w="1676"/>
              <w:gridCol w:w="2386"/>
            </w:tblGrid>
            <w:tr w14:paraId="49655D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50" w:type="pct"/>
                  <w:noWrap w:val="0"/>
                  <w:vAlign w:val="center"/>
                </w:tcPr>
                <w:p w14:paraId="2D2ECCA0">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lang w:eastAsia="zh-CN"/>
                    </w:rPr>
                  </w:pPr>
                  <w:r>
                    <w:rPr>
                      <w:rFonts w:hint="eastAsia" w:ascii="Times New Roman" w:hAnsi="Times New Roman" w:eastAsia="宋体" w:cs="Times New Roman"/>
                      <w:b w:val="0"/>
                      <w:bCs w:val="0"/>
                      <w:sz w:val="21"/>
                      <w:szCs w:val="21"/>
                      <w:highlight w:val="none"/>
                      <w:lang w:val="en-US" w:eastAsia="zh-CN"/>
                    </w:rPr>
                    <w:t>污染物</w:t>
                  </w:r>
                </w:p>
              </w:tc>
              <w:tc>
                <w:tcPr>
                  <w:tcW w:w="1460" w:type="pct"/>
                  <w:gridSpan w:val="2"/>
                  <w:noWrap w:val="0"/>
                  <w:vAlign w:val="center"/>
                </w:tcPr>
                <w:p w14:paraId="3E9CB461">
                  <w:pPr>
                    <w:adjustRightInd w:val="0"/>
                    <w:snapToGrid w:val="0"/>
                    <w:spacing w:line="240" w:lineRule="auto"/>
                    <w:ind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监控点</w:t>
                  </w:r>
                </w:p>
              </w:tc>
              <w:tc>
                <w:tcPr>
                  <w:tcW w:w="1068" w:type="pct"/>
                  <w:noWrap w:val="0"/>
                  <w:vAlign w:val="center"/>
                </w:tcPr>
                <w:p w14:paraId="6B69D290">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color w:val="auto"/>
                      <w:spacing w:val="2"/>
                      <w:kern w:val="2"/>
                      <w:sz w:val="21"/>
                      <w:szCs w:val="21"/>
                      <w:highlight w:val="none"/>
                      <w:lang w:val="en-US" w:eastAsia="zh-CN" w:bidi="ar-SA"/>
                    </w:rPr>
                    <w:t>浓度（</w:t>
                  </w:r>
                  <w:r>
                    <w:rPr>
                      <w:rFonts w:hint="default" w:ascii="Times New Roman" w:hAnsi="Times New Roman" w:eastAsia="宋体" w:cs="Times New Roman"/>
                      <w:b w:val="0"/>
                      <w:bCs w:val="0"/>
                      <w:sz w:val="21"/>
                      <w:szCs w:val="21"/>
                      <w:highlight w:val="none"/>
                    </w:rPr>
                    <w:t>mg/m</w:t>
                  </w:r>
                  <w:r>
                    <w:rPr>
                      <w:rFonts w:hint="default" w:ascii="Times New Roman" w:hAnsi="Times New Roman" w:eastAsia="宋体" w:cs="Times New Roman"/>
                      <w:b w:val="0"/>
                      <w:bCs w:val="0"/>
                      <w:sz w:val="21"/>
                      <w:szCs w:val="21"/>
                      <w:highlight w:val="none"/>
                      <w:vertAlign w:val="superscript"/>
                    </w:rPr>
                    <w:t>3</w:t>
                  </w:r>
                  <w:r>
                    <w:rPr>
                      <w:rFonts w:hint="eastAsia" w:ascii="Times New Roman" w:hAnsi="Times New Roman" w:eastAsia="宋体" w:cs="Times New Roman"/>
                      <w:b w:val="0"/>
                      <w:bCs w:val="0"/>
                      <w:color w:val="auto"/>
                      <w:spacing w:val="2"/>
                      <w:kern w:val="2"/>
                      <w:sz w:val="21"/>
                      <w:szCs w:val="21"/>
                      <w:highlight w:val="none"/>
                      <w:lang w:val="en-US" w:eastAsia="zh-CN" w:bidi="ar-SA"/>
                    </w:rPr>
                    <w:t>）</w:t>
                  </w:r>
                </w:p>
              </w:tc>
              <w:tc>
                <w:tcPr>
                  <w:tcW w:w="1520" w:type="pct"/>
                  <w:noWrap w:val="0"/>
                  <w:vAlign w:val="center"/>
                </w:tcPr>
                <w:p w14:paraId="4516A8BB">
                  <w:pPr>
                    <w:adjustRightInd w:val="0"/>
                    <w:snapToGrid w:val="0"/>
                    <w:spacing w:line="240" w:lineRule="auto"/>
                    <w:ind w:firstLine="0" w:firstLineChars="0"/>
                    <w:jc w:val="center"/>
                    <w:rPr>
                      <w:rFonts w:hint="default" w:ascii="Times New Roman" w:hAnsi="Times New Roman" w:eastAsia="宋体" w:cs="Times New Roman"/>
                      <w:b w:val="0"/>
                      <w:bCs w:val="0"/>
                      <w:color w:val="auto"/>
                      <w:spacing w:val="2"/>
                      <w:kern w:val="2"/>
                      <w:sz w:val="21"/>
                      <w:szCs w:val="21"/>
                      <w:highlight w:val="none"/>
                      <w:lang w:val="en-US" w:eastAsia="zh-CN" w:bidi="ar-SA"/>
                    </w:rPr>
                  </w:pPr>
                  <w:r>
                    <w:rPr>
                      <w:rFonts w:hint="eastAsia" w:ascii="Times New Roman" w:hAnsi="Times New Roman" w:eastAsia="宋体" w:cs="Times New Roman"/>
                      <w:b w:val="0"/>
                      <w:bCs w:val="0"/>
                      <w:color w:val="auto"/>
                      <w:spacing w:val="2"/>
                      <w:kern w:val="2"/>
                      <w:sz w:val="21"/>
                      <w:szCs w:val="21"/>
                      <w:highlight w:val="none"/>
                      <w:lang w:val="en-US" w:eastAsia="zh-CN" w:bidi="ar-SA"/>
                    </w:rPr>
                    <w:t>标准来源</w:t>
                  </w:r>
                </w:p>
              </w:tc>
            </w:tr>
            <w:tr w14:paraId="1441CC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50" w:type="pct"/>
                  <w:vMerge w:val="restart"/>
                  <w:noWrap w:val="0"/>
                  <w:vAlign w:val="center"/>
                </w:tcPr>
                <w:p w14:paraId="7B8A56A9">
                  <w:pPr>
                    <w:adjustRightInd w:val="0"/>
                    <w:snapToGrid w:val="0"/>
                    <w:spacing w:line="240" w:lineRule="auto"/>
                    <w:ind w:firstLine="0" w:firstLineChars="0"/>
                    <w:jc w:val="center"/>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非甲烷总烃</w:t>
                  </w:r>
                </w:p>
              </w:tc>
              <w:tc>
                <w:tcPr>
                  <w:tcW w:w="561" w:type="pct"/>
                  <w:vMerge w:val="restart"/>
                  <w:noWrap w:val="0"/>
                  <w:vAlign w:val="center"/>
                </w:tcPr>
                <w:p w14:paraId="217F8FFD">
                  <w:pPr>
                    <w:adjustRightInd w:val="0"/>
                    <w:snapToGrid w:val="0"/>
                    <w:spacing w:line="240" w:lineRule="auto"/>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厂区内</w:t>
                  </w:r>
                </w:p>
              </w:tc>
              <w:tc>
                <w:tcPr>
                  <w:tcW w:w="898" w:type="pct"/>
                  <w:noWrap w:val="0"/>
                  <w:vAlign w:val="center"/>
                </w:tcPr>
                <w:p w14:paraId="1B4E3A1B">
                  <w:pPr>
                    <w:adjustRightInd w:val="0"/>
                    <w:snapToGrid w:val="0"/>
                    <w:spacing w:line="240" w:lineRule="auto"/>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1h平均</w:t>
                  </w:r>
                </w:p>
              </w:tc>
              <w:tc>
                <w:tcPr>
                  <w:tcW w:w="1068" w:type="pct"/>
                  <w:noWrap w:val="0"/>
                  <w:vAlign w:val="center"/>
                </w:tcPr>
                <w:p w14:paraId="452D2963">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8</w:t>
                  </w:r>
                </w:p>
              </w:tc>
              <w:tc>
                <w:tcPr>
                  <w:tcW w:w="1520" w:type="pct"/>
                  <w:noWrap w:val="0"/>
                  <w:vAlign w:val="center"/>
                </w:tcPr>
                <w:p w14:paraId="3F4797E4">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color w:val="auto"/>
                      <w:sz w:val="21"/>
                      <w:szCs w:val="21"/>
                      <w:highlight w:val="none"/>
                    </w:rPr>
                    <w:t>DB35/178</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-2018</w:t>
                  </w:r>
                  <w:r>
                    <w:rPr>
                      <w:rFonts w:hint="default" w:ascii="Times New Roman" w:hAnsi="Times New Roman" w:cs="Times New Roman"/>
                      <w:color w:val="auto"/>
                      <w:sz w:val="21"/>
                      <w:szCs w:val="21"/>
                      <w:highlight w:val="none"/>
                      <w:lang w:eastAsia="zh-CN"/>
                    </w:rPr>
                    <w:t>表</w:t>
                  </w:r>
                  <w:r>
                    <w:rPr>
                      <w:rFonts w:hint="default" w:ascii="Times New Roman" w:hAnsi="Times New Roman" w:cs="Times New Roman"/>
                      <w:color w:val="auto"/>
                      <w:sz w:val="21"/>
                      <w:szCs w:val="21"/>
                      <w:highlight w:val="none"/>
                      <w:lang w:val="en-US" w:eastAsia="zh-CN"/>
                    </w:rPr>
                    <w:t>2</w:t>
                  </w:r>
                </w:p>
              </w:tc>
            </w:tr>
            <w:tr w14:paraId="166FDA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50" w:type="pct"/>
                  <w:vMerge w:val="continue"/>
                  <w:noWrap w:val="0"/>
                  <w:vAlign w:val="center"/>
                </w:tcPr>
                <w:p w14:paraId="275456D1">
                  <w:pPr>
                    <w:adjustRightInd w:val="0"/>
                    <w:snapToGrid w:val="0"/>
                    <w:spacing w:line="240" w:lineRule="auto"/>
                    <w:ind w:firstLine="0" w:firstLineChars="0"/>
                    <w:jc w:val="center"/>
                    <w:rPr>
                      <w:rFonts w:hint="eastAsia" w:ascii="Times New Roman" w:hAnsi="Times New Roman" w:eastAsia="宋体" w:cs="Times New Roman"/>
                      <w:b w:val="0"/>
                      <w:bCs w:val="0"/>
                      <w:color w:val="000000"/>
                      <w:sz w:val="21"/>
                      <w:szCs w:val="21"/>
                      <w:highlight w:val="none"/>
                      <w:lang w:val="en-US" w:eastAsia="zh-CN"/>
                    </w:rPr>
                  </w:pPr>
                </w:p>
              </w:tc>
              <w:tc>
                <w:tcPr>
                  <w:tcW w:w="561" w:type="pct"/>
                  <w:vMerge w:val="continue"/>
                  <w:noWrap w:val="0"/>
                  <w:vAlign w:val="center"/>
                </w:tcPr>
                <w:p w14:paraId="790E45A5">
                  <w:pPr>
                    <w:adjustRightInd w:val="0"/>
                    <w:snapToGrid w:val="0"/>
                    <w:spacing w:line="240" w:lineRule="auto"/>
                    <w:ind w:firstLine="0" w:firstLineChars="0"/>
                    <w:jc w:val="center"/>
                    <w:rPr>
                      <w:rFonts w:hint="default" w:ascii="Times New Roman" w:hAnsi="Times New Roman" w:eastAsia="宋体" w:cs="Times New Roman"/>
                      <w:b w:val="0"/>
                      <w:bCs w:val="0"/>
                      <w:color w:val="000000"/>
                      <w:sz w:val="21"/>
                      <w:szCs w:val="21"/>
                      <w:highlight w:val="none"/>
                      <w:lang w:val="en-US" w:eastAsia="zh-CN"/>
                    </w:rPr>
                  </w:pPr>
                </w:p>
              </w:tc>
              <w:tc>
                <w:tcPr>
                  <w:tcW w:w="898" w:type="pct"/>
                  <w:noWrap w:val="0"/>
                  <w:vAlign w:val="center"/>
                </w:tcPr>
                <w:p w14:paraId="184B5194">
                  <w:pPr>
                    <w:adjustRightInd w:val="0"/>
                    <w:snapToGrid w:val="0"/>
                    <w:spacing w:line="240" w:lineRule="auto"/>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任意一次</w:t>
                  </w:r>
                </w:p>
              </w:tc>
              <w:tc>
                <w:tcPr>
                  <w:tcW w:w="1068" w:type="pct"/>
                  <w:noWrap w:val="0"/>
                  <w:vAlign w:val="center"/>
                </w:tcPr>
                <w:p w14:paraId="620173DC">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30</w:t>
                  </w:r>
                </w:p>
              </w:tc>
              <w:tc>
                <w:tcPr>
                  <w:tcW w:w="1520" w:type="pct"/>
                  <w:noWrap w:val="0"/>
                  <w:vAlign w:val="center"/>
                </w:tcPr>
                <w:p w14:paraId="070308EC">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color w:val="auto"/>
                      <w:sz w:val="21"/>
                      <w:szCs w:val="21"/>
                      <w:highlight w:val="none"/>
                    </w:rPr>
                    <w:t>GB37822-2019表A.1</w:t>
                  </w:r>
                </w:p>
              </w:tc>
            </w:tr>
            <w:tr w14:paraId="1D2434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50" w:type="pct"/>
                  <w:vMerge w:val="continue"/>
                  <w:noWrap w:val="0"/>
                  <w:vAlign w:val="center"/>
                </w:tcPr>
                <w:p w14:paraId="53266E07">
                  <w:pPr>
                    <w:adjustRightInd w:val="0"/>
                    <w:snapToGrid w:val="0"/>
                    <w:spacing w:line="240" w:lineRule="auto"/>
                    <w:ind w:firstLine="0" w:firstLineChars="0"/>
                    <w:jc w:val="center"/>
                    <w:rPr>
                      <w:rFonts w:hint="eastAsia" w:ascii="Times New Roman" w:hAnsi="Times New Roman" w:eastAsia="宋体" w:cs="Times New Roman"/>
                      <w:b w:val="0"/>
                      <w:bCs w:val="0"/>
                      <w:color w:val="000000"/>
                      <w:sz w:val="21"/>
                      <w:szCs w:val="21"/>
                      <w:highlight w:val="none"/>
                      <w:lang w:val="en-US" w:eastAsia="zh-CN"/>
                    </w:rPr>
                  </w:pPr>
                </w:p>
              </w:tc>
              <w:tc>
                <w:tcPr>
                  <w:tcW w:w="1460" w:type="pct"/>
                  <w:gridSpan w:val="2"/>
                  <w:noWrap w:val="0"/>
                  <w:vAlign w:val="center"/>
                </w:tcPr>
                <w:p w14:paraId="2E7F81AA">
                  <w:pPr>
                    <w:adjustRightInd w:val="0"/>
                    <w:snapToGrid w:val="0"/>
                    <w:spacing w:line="240" w:lineRule="auto"/>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边界</w:t>
                  </w:r>
                </w:p>
              </w:tc>
              <w:tc>
                <w:tcPr>
                  <w:tcW w:w="1068" w:type="pct"/>
                  <w:noWrap w:val="0"/>
                  <w:vAlign w:val="center"/>
                </w:tcPr>
                <w:p w14:paraId="67D3D93E">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2.0</w:t>
                  </w:r>
                </w:p>
              </w:tc>
              <w:tc>
                <w:tcPr>
                  <w:tcW w:w="1520" w:type="pct"/>
                  <w:noWrap w:val="0"/>
                  <w:vAlign w:val="center"/>
                </w:tcPr>
                <w:p w14:paraId="5F10E282">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color w:val="auto"/>
                      <w:sz w:val="21"/>
                      <w:szCs w:val="21"/>
                      <w:highlight w:val="none"/>
                    </w:rPr>
                    <w:t>DB35/178</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-2018</w:t>
                  </w:r>
                  <w:r>
                    <w:rPr>
                      <w:rFonts w:hint="default" w:ascii="Times New Roman" w:hAnsi="Times New Roman" w:cs="Times New Roman"/>
                      <w:color w:val="auto"/>
                      <w:sz w:val="21"/>
                      <w:szCs w:val="21"/>
                      <w:highlight w:val="none"/>
                      <w:lang w:eastAsia="zh-CN"/>
                    </w:rPr>
                    <w:t>表</w:t>
                  </w:r>
                  <w:r>
                    <w:rPr>
                      <w:rFonts w:hint="default" w:ascii="Times New Roman" w:hAnsi="Times New Roman" w:cs="Times New Roman"/>
                      <w:color w:val="auto"/>
                      <w:sz w:val="21"/>
                      <w:szCs w:val="21"/>
                      <w:highlight w:val="none"/>
                      <w:lang w:val="en-US" w:eastAsia="zh-CN"/>
                    </w:rPr>
                    <w:t>3</w:t>
                  </w:r>
                </w:p>
              </w:tc>
            </w:tr>
            <w:tr w14:paraId="5B786A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50" w:type="pct"/>
                  <w:noWrap w:val="0"/>
                  <w:vAlign w:val="center"/>
                </w:tcPr>
                <w:p w14:paraId="79360555">
                  <w:pPr>
                    <w:adjustRightInd w:val="0"/>
                    <w:snapToGrid w:val="0"/>
                    <w:spacing w:line="240" w:lineRule="auto"/>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cs="Times New Roman"/>
                      <w:b w:val="0"/>
                      <w:bCs w:val="0"/>
                      <w:color w:val="000000"/>
                      <w:sz w:val="21"/>
                      <w:szCs w:val="21"/>
                      <w:highlight w:val="none"/>
                      <w:lang w:val="en-US" w:eastAsia="zh-CN"/>
                    </w:rPr>
                    <w:t>颗粒物</w:t>
                  </w:r>
                </w:p>
              </w:tc>
              <w:tc>
                <w:tcPr>
                  <w:tcW w:w="1460" w:type="pct"/>
                  <w:gridSpan w:val="2"/>
                  <w:vMerge w:val="restart"/>
                  <w:noWrap w:val="0"/>
                  <w:vAlign w:val="center"/>
                </w:tcPr>
                <w:p w14:paraId="0889171E">
                  <w:pPr>
                    <w:adjustRightInd w:val="0"/>
                    <w:snapToGrid w:val="0"/>
                    <w:spacing w:line="240" w:lineRule="auto"/>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cs="Times New Roman"/>
                      <w:b w:val="0"/>
                      <w:bCs w:val="0"/>
                      <w:color w:val="000000"/>
                      <w:sz w:val="21"/>
                      <w:szCs w:val="21"/>
                      <w:highlight w:val="none"/>
                      <w:lang w:val="en-US" w:eastAsia="zh-CN"/>
                    </w:rPr>
                    <w:t>周界外浓度最高点</w:t>
                  </w:r>
                </w:p>
              </w:tc>
              <w:tc>
                <w:tcPr>
                  <w:tcW w:w="1068" w:type="pct"/>
                  <w:noWrap w:val="0"/>
                  <w:vAlign w:val="center"/>
                </w:tcPr>
                <w:p w14:paraId="0B9FD76C">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1.0</w:t>
                  </w:r>
                </w:p>
              </w:tc>
              <w:tc>
                <w:tcPr>
                  <w:tcW w:w="1520" w:type="pct"/>
                  <w:noWrap w:val="0"/>
                  <w:vAlign w:val="center"/>
                </w:tcPr>
                <w:p w14:paraId="6ACC1DB3">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GB16297-1996</w:t>
                  </w:r>
                  <w:r>
                    <w:rPr>
                      <w:rFonts w:hint="eastAsia" w:cs="Times New Roman"/>
                      <w:color w:val="auto"/>
                      <w:sz w:val="21"/>
                      <w:szCs w:val="21"/>
                      <w:highlight w:val="none"/>
                      <w:lang w:val="en-US" w:eastAsia="zh-CN"/>
                    </w:rPr>
                    <w:t>表2</w:t>
                  </w:r>
                </w:p>
              </w:tc>
            </w:tr>
            <w:tr w14:paraId="5F4EB7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50" w:type="pct"/>
                  <w:noWrap w:val="0"/>
                  <w:vAlign w:val="center"/>
                </w:tcPr>
                <w:p w14:paraId="0667D329">
                  <w:pPr>
                    <w:adjustRightInd w:val="0"/>
                    <w:snapToGrid w:val="0"/>
                    <w:spacing w:line="240" w:lineRule="auto"/>
                    <w:ind w:firstLine="0" w:firstLineChars="0"/>
                    <w:jc w:val="center"/>
                    <w:rPr>
                      <w:rFonts w:hint="default" w:cs="Times New Roman"/>
                      <w:b w:val="0"/>
                      <w:bCs w:val="0"/>
                      <w:color w:val="000000"/>
                      <w:sz w:val="21"/>
                      <w:szCs w:val="21"/>
                      <w:highlight w:val="none"/>
                      <w:lang w:val="en-US" w:eastAsia="zh-CN"/>
                    </w:rPr>
                  </w:pPr>
                  <w:r>
                    <w:rPr>
                      <w:rFonts w:hint="eastAsia" w:cs="Times New Roman"/>
                      <w:b w:val="0"/>
                      <w:bCs w:val="0"/>
                      <w:color w:val="000000"/>
                      <w:sz w:val="21"/>
                      <w:szCs w:val="21"/>
                      <w:highlight w:val="none"/>
                      <w:lang w:val="en-US" w:eastAsia="zh-CN"/>
                    </w:rPr>
                    <w:t>二氧化硫</w:t>
                  </w:r>
                </w:p>
              </w:tc>
              <w:tc>
                <w:tcPr>
                  <w:tcW w:w="1460" w:type="pct"/>
                  <w:gridSpan w:val="2"/>
                  <w:vMerge w:val="continue"/>
                  <w:noWrap w:val="0"/>
                  <w:vAlign w:val="center"/>
                </w:tcPr>
                <w:p w14:paraId="3537D8A0">
                  <w:pPr>
                    <w:adjustRightInd w:val="0"/>
                    <w:snapToGrid w:val="0"/>
                    <w:spacing w:line="240" w:lineRule="auto"/>
                    <w:ind w:firstLine="0" w:firstLineChars="0"/>
                    <w:jc w:val="center"/>
                    <w:rPr>
                      <w:rFonts w:hint="eastAsia" w:ascii="Times New Roman" w:hAnsi="Times New Roman" w:eastAsia="宋体" w:cs="Times New Roman"/>
                      <w:b w:val="0"/>
                      <w:bCs w:val="0"/>
                      <w:color w:val="000000"/>
                      <w:sz w:val="21"/>
                      <w:szCs w:val="21"/>
                      <w:highlight w:val="none"/>
                      <w:lang w:val="en-US" w:eastAsia="zh-CN"/>
                    </w:rPr>
                  </w:pPr>
                </w:p>
              </w:tc>
              <w:tc>
                <w:tcPr>
                  <w:tcW w:w="1068" w:type="pct"/>
                  <w:noWrap w:val="0"/>
                  <w:vAlign w:val="center"/>
                </w:tcPr>
                <w:p w14:paraId="24215803">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0.4</w:t>
                  </w:r>
                </w:p>
              </w:tc>
              <w:tc>
                <w:tcPr>
                  <w:tcW w:w="1520" w:type="pct"/>
                  <w:noWrap w:val="0"/>
                  <w:vAlign w:val="center"/>
                </w:tcPr>
                <w:p w14:paraId="4E113634">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GB16297-1996</w:t>
                  </w:r>
                  <w:r>
                    <w:rPr>
                      <w:rFonts w:hint="eastAsia" w:cs="Times New Roman"/>
                      <w:color w:val="auto"/>
                      <w:sz w:val="21"/>
                      <w:szCs w:val="21"/>
                      <w:highlight w:val="none"/>
                      <w:lang w:val="en-US" w:eastAsia="zh-CN"/>
                    </w:rPr>
                    <w:t>表2</w:t>
                  </w:r>
                </w:p>
              </w:tc>
            </w:tr>
            <w:tr w14:paraId="2848F9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50" w:type="pct"/>
                  <w:noWrap w:val="0"/>
                  <w:vAlign w:val="center"/>
                </w:tcPr>
                <w:p w14:paraId="3B59E813">
                  <w:pPr>
                    <w:adjustRightInd w:val="0"/>
                    <w:snapToGrid w:val="0"/>
                    <w:spacing w:line="240" w:lineRule="auto"/>
                    <w:ind w:firstLine="0" w:firstLineChars="0"/>
                    <w:jc w:val="center"/>
                    <w:rPr>
                      <w:rFonts w:hint="default" w:cs="Times New Roman"/>
                      <w:b w:val="0"/>
                      <w:bCs w:val="0"/>
                      <w:color w:val="000000"/>
                      <w:sz w:val="21"/>
                      <w:szCs w:val="21"/>
                      <w:highlight w:val="none"/>
                      <w:lang w:val="en-US" w:eastAsia="zh-CN"/>
                    </w:rPr>
                  </w:pPr>
                  <w:r>
                    <w:rPr>
                      <w:rFonts w:hint="eastAsia" w:cs="Times New Roman"/>
                      <w:b w:val="0"/>
                      <w:bCs w:val="0"/>
                      <w:color w:val="000000"/>
                      <w:sz w:val="21"/>
                      <w:szCs w:val="21"/>
                      <w:highlight w:val="none"/>
                      <w:lang w:val="en-US" w:eastAsia="zh-CN"/>
                    </w:rPr>
                    <w:t>氮氧化物</w:t>
                  </w:r>
                </w:p>
              </w:tc>
              <w:tc>
                <w:tcPr>
                  <w:tcW w:w="1460" w:type="pct"/>
                  <w:gridSpan w:val="2"/>
                  <w:vMerge w:val="continue"/>
                  <w:noWrap w:val="0"/>
                  <w:vAlign w:val="center"/>
                </w:tcPr>
                <w:p w14:paraId="4C2CF784">
                  <w:pPr>
                    <w:adjustRightInd w:val="0"/>
                    <w:snapToGrid w:val="0"/>
                    <w:spacing w:line="240" w:lineRule="auto"/>
                    <w:ind w:firstLine="0" w:firstLineChars="0"/>
                    <w:jc w:val="center"/>
                    <w:rPr>
                      <w:rFonts w:hint="eastAsia" w:ascii="Times New Roman" w:hAnsi="Times New Roman" w:eastAsia="宋体" w:cs="Times New Roman"/>
                      <w:b w:val="0"/>
                      <w:bCs w:val="0"/>
                      <w:color w:val="000000"/>
                      <w:sz w:val="21"/>
                      <w:szCs w:val="21"/>
                      <w:highlight w:val="none"/>
                      <w:lang w:val="en-US" w:eastAsia="zh-CN"/>
                    </w:rPr>
                  </w:pPr>
                </w:p>
              </w:tc>
              <w:tc>
                <w:tcPr>
                  <w:tcW w:w="1068" w:type="pct"/>
                  <w:noWrap w:val="0"/>
                  <w:vAlign w:val="center"/>
                </w:tcPr>
                <w:p w14:paraId="0063DBA2">
                  <w:pPr>
                    <w:adjustRightInd w:val="0"/>
                    <w:snapToGrid w:val="0"/>
                    <w:spacing w:line="240" w:lineRule="auto"/>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0.12</w:t>
                  </w:r>
                </w:p>
              </w:tc>
              <w:tc>
                <w:tcPr>
                  <w:tcW w:w="1520" w:type="pct"/>
                  <w:noWrap w:val="0"/>
                  <w:vAlign w:val="center"/>
                </w:tcPr>
                <w:p w14:paraId="00D870C1">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GB16297-1996</w:t>
                  </w:r>
                  <w:r>
                    <w:rPr>
                      <w:rFonts w:hint="eastAsia" w:cs="Times New Roman"/>
                      <w:color w:val="auto"/>
                      <w:sz w:val="21"/>
                      <w:szCs w:val="21"/>
                      <w:highlight w:val="none"/>
                      <w:lang w:val="en-US" w:eastAsia="zh-CN"/>
                    </w:rPr>
                    <w:t>表2</w:t>
                  </w:r>
                </w:p>
              </w:tc>
            </w:tr>
          </w:tbl>
          <w:p w14:paraId="3828C252">
            <w:pPr>
              <w:pStyle w:val="54"/>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outlineLvl w:val="2"/>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w:t>
            </w:r>
            <w:r>
              <w:rPr>
                <w:rFonts w:hint="eastAsia" w:ascii="Times New Roman" w:hAnsi="Times New Roman" w:cs="Times New Roman"/>
                <w:b/>
                <w:bCs w:val="0"/>
                <w:color w:val="auto"/>
                <w:kern w:val="2"/>
                <w:sz w:val="24"/>
                <w:szCs w:val="24"/>
                <w:highlight w:val="none"/>
                <w:lang w:val="en-US" w:eastAsia="zh-CN" w:bidi="ar-SA"/>
              </w:rPr>
              <w:t>7</w:t>
            </w:r>
            <w:r>
              <w:rPr>
                <w:rFonts w:hint="default" w:ascii="Times New Roman" w:hAnsi="Times New Roman" w:eastAsia="宋体" w:cs="Times New Roman"/>
                <w:b/>
                <w:bCs w:val="0"/>
                <w:color w:val="auto"/>
                <w:kern w:val="2"/>
                <w:sz w:val="24"/>
                <w:szCs w:val="24"/>
                <w:highlight w:val="none"/>
                <w:lang w:val="en-US" w:eastAsia="zh-CN" w:bidi="ar-SA"/>
              </w:rPr>
              <w:t>.3噪声排放控制标准</w:t>
            </w:r>
          </w:p>
          <w:p w14:paraId="53717684">
            <w:pPr>
              <w:keepNext w:val="0"/>
              <w:keepLines w:val="0"/>
              <w:pageBreakBefore w:val="0"/>
              <w:widowControl w:val="0"/>
              <w:kinsoku/>
              <w:wordWrap/>
              <w:overflowPunct/>
              <w:topLinePunct w:val="0"/>
              <w:autoSpaceDE/>
              <w:autoSpaceDN/>
              <w:bidi w:val="0"/>
              <w:adjustRightInd w:val="0"/>
              <w:snapToGrid w:val="0"/>
              <w:spacing w:line="360" w:lineRule="auto"/>
              <w:ind w:firstLine="488" w:firstLineChars="20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厂界噪声执行GB12348-2008《工业企业厂界环境噪声排放标准》</w:t>
            </w:r>
            <w:r>
              <w:rPr>
                <w:rFonts w:hint="eastAsia"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类标准</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详见</w:t>
            </w:r>
            <w:r>
              <w:rPr>
                <w:rFonts w:hint="default" w:ascii="Times New Roman" w:hAnsi="Times New Roman" w:eastAsia="宋体" w:cs="Times New Roman"/>
                <w:color w:val="auto"/>
                <w:spacing w:val="2"/>
                <w:sz w:val="24"/>
                <w:szCs w:val="24"/>
                <w:highlight w:val="none"/>
                <w:lang w:eastAsia="zh-CN"/>
              </w:rPr>
              <w:t>下</w:t>
            </w:r>
            <w:r>
              <w:rPr>
                <w:rFonts w:hint="default" w:ascii="Times New Roman" w:hAnsi="Times New Roman" w:eastAsia="宋体" w:cs="Times New Roman"/>
                <w:color w:val="auto"/>
                <w:spacing w:val="2"/>
                <w:sz w:val="24"/>
                <w:szCs w:val="24"/>
                <w:highlight w:val="none"/>
              </w:rPr>
              <w:t>表。</w:t>
            </w:r>
          </w:p>
          <w:p w14:paraId="37C2F3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lang w:val="en-US" w:eastAsia="zh-CN"/>
              </w:rPr>
              <w:t>1</w:t>
            </w:r>
            <w:r>
              <w:rPr>
                <w:rFonts w:hint="eastAsia" w:cs="Times New Roman"/>
                <w:b/>
                <w:color w:val="auto"/>
                <w:sz w:val="24"/>
                <w:szCs w:val="24"/>
                <w:highlight w:val="none"/>
                <w:lang w:val="en-US" w:eastAsia="zh-CN"/>
              </w:rPr>
              <w:t>1</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GB12348-2008《工业企业厂界环境噪声排放标准》单位：dB(A)</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14"/>
              <w:gridCol w:w="2893"/>
              <w:gridCol w:w="2735"/>
            </w:tblGrid>
            <w:tr w14:paraId="6228FC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1" w:type="pct"/>
                  <w:noWrap w:val="0"/>
                  <w:vAlign w:val="center"/>
                </w:tcPr>
                <w:p w14:paraId="5BC87776">
                  <w:pPr>
                    <w:spacing w:line="340" w:lineRule="exact"/>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类别</w:t>
                  </w:r>
                </w:p>
              </w:tc>
              <w:tc>
                <w:tcPr>
                  <w:tcW w:w="1844" w:type="pct"/>
                  <w:noWrap w:val="0"/>
                  <w:vAlign w:val="center"/>
                </w:tcPr>
                <w:p w14:paraId="08FF5A9F">
                  <w:pPr>
                    <w:spacing w:line="340" w:lineRule="exact"/>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昼间</w:t>
                  </w:r>
                </w:p>
              </w:tc>
              <w:tc>
                <w:tcPr>
                  <w:tcW w:w="1743" w:type="pct"/>
                  <w:noWrap w:val="0"/>
                  <w:vAlign w:val="center"/>
                </w:tcPr>
                <w:p w14:paraId="136DF2E8">
                  <w:pPr>
                    <w:spacing w:line="340" w:lineRule="exact"/>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夜间</w:t>
                  </w:r>
                </w:p>
              </w:tc>
            </w:tr>
            <w:tr w14:paraId="6C6221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1" w:type="pct"/>
                  <w:noWrap w:val="0"/>
                  <w:vAlign w:val="center"/>
                </w:tcPr>
                <w:p w14:paraId="6AC565A9">
                  <w:pPr>
                    <w:spacing w:line="3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类</w:t>
                  </w:r>
                </w:p>
              </w:tc>
              <w:tc>
                <w:tcPr>
                  <w:tcW w:w="1844" w:type="pct"/>
                  <w:noWrap w:val="0"/>
                  <w:vAlign w:val="center"/>
                </w:tcPr>
                <w:p w14:paraId="785241B8">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1743" w:type="pct"/>
                  <w:noWrap w:val="0"/>
                  <w:vAlign w:val="center"/>
                </w:tcPr>
                <w:p w14:paraId="3B0CCEA2">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r>
          </w:tbl>
          <w:p w14:paraId="2D85F9C4">
            <w:pPr>
              <w:keepNext w:val="0"/>
              <w:keepLines w:val="0"/>
              <w:pageBreakBefore w:val="0"/>
              <w:widowControl w:val="0"/>
              <w:kinsoku/>
              <w:wordWrap/>
              <w:overflowPunct/>
              <w:topLinePunct w:val="0"/>
              <w:autoSpaceDE/>
              <w:autoSpaceDN/>
              <w:bidi w:val="0"/>
              <w:adjustRightInd/>
              <w:snapToGrid w:val="0"/>
              <w:spacing w:before="120" w:beforeLines="50" w:line="360" w:lineRule="auto"/>
              <w:ind w:left="0" w:leftChars="0" w:firstLine="0" w:firstLineChars="0"/>
              <w:jc w:val="both"/>
              <w:textAlignment w:val="auto"/>
              <w:outlineLvl w:val="2"/>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固体废物</w:t>
            </w:r>
            <w:r>
              <w:rPr>
                <w:rFonts w:hint="default" w:ascii="Times New Roman" w:hAnsi="Times New Roman" w:eastAsia="宋体" w:cs="Times New Roman"/>
                <w:b/>
                <w:bCs/>
                <w:color w:val="auto"/>
                <w:sz w:val="24"/>
                <w:szCs w:val="24"/>
                <w:highlight w:val="none"/>
                <w:lang w:eastAsia="zh-CN"/>
              </w:rPr>
              <w:t>控制标准</w:t>
            </w:r>
          </w:p>
          <w:p w14:paraId="6094ED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000000"/>
                <w:sz w:val="24"/>
                <w:szCs w:val="24"/>
                <w:highlight w:val="none"/>
              </w:rPr>
              <w:t>项目一般</w:t>
            </w:r>
            <w:r>
              <w:rPr>
                <w:rFonts w:hint="eastAsia" w:ascii="Times New Roman" w:hAnsi="Times New Roman" w:eastAsia="宋体" w:cs="Times New Roman"/>
                <w:bCs/>
                <w:color w:val="000000"/>
                <w:sz w:val="24"/>
                <w:szCs w:val="24"/>
                <w:highlight w:val="none"/>
                <w:lang w:val="en-US" w:eastAsia="zh-CN"/>
              </w:rPr>
              <w:t>工业</w:t>
            </w:r>
            <w:r>
              <w:rPr>
                <w:rFonts w:hint="default" w:ascii="Times New Roman" w:hAnsi="Times New Roman" w:eastAsia="宋体" w:cs="Times New Roman"/>
                <w:bCs/>
                <w:color w:val="000000"/>
                <w:sz w:val="24"/>
                <w:szCs w:val="24"/>
                <w:highlight w:val="none"/>
              </w:rPr>
              <w:t>固废</w:t>
            </w:r>
            <w:r>
              <w:rPr>
                <w:rFonts w:hint="default" w:ascii="Times New Roman" w:hAnsi="Times New Roman" w:eastAsia="宋体" w:cs="Times New Roman"/>
                <w:bCs/>
                <w:color w:val="000000"/>
                <w:sz w:val="24"/>
                <w:szCs w:val="24"/>
                <w:highlight w:val="none"/>
                <w:lang w:eastAsia="zh-CN"/>
              </w:rPr>
              <w:t>参照</w:t>
            </w:r>
            <w:r>
              <w:rPr>
                <w:rFonts w:hint="default" w:ascii="Times New Roman" w:hAnsi="Times New Roman" w:eastAsia="宋体" w:cs="Times New Roman"/>
                <w:bCs/>
                <w:color w:val="000000"/>
                <w:sz w:val="24"/>
                <w:szCs w:val="24"/>
                <w:highlight w:val="none"/>
              </w:rPr>
              <w:t>GB18599-20</w:t>
            </w:r>
            <w:r>
              <w:rPr>
                <w:rFonts w:hint="default" w:ascii="Times New Roman" w:hAnsi="Times New Roman" w:eastAsia="宋体" w:cs="Times New Roman"/>
                <w:bCs/>
                <w:color w:val="000000"/>
                <w:sz w:val="24"/>
                <w:szCs w:val="24"/>
                <w:highlight w:val="none"/>
                <w:lang w:val="en-US" w:eastAsia="zh-CN"/>
              </w:rPr>
              <w:t>20</w:t>
            </w:r>
            <w:r>
              <w:rPr>
                <w:rFonts w:hint="default" w:ascii="Times New Roman" w:hAnsi="Times New Roman" w:eastAsia="宋体" w:cs="Times New Roman"/>
                <w:bCs/>
                <w:color w:val="000000"/>
                <w:sz w:val="24"/>
                <w:szCs w:val="24"/>
                <w:highlight w:val="none"/>
              </w:rPr>
              <w:t>《一般工业固体废物贮存</w:t>
            </w:r>
            <w:r>
              <w:rPr>
                <w:rFonts w:hint="default" w:ascii="Times New Roman" w:hAnsi="Times New Roman" w:eastAsia="宋体" w:cs="Times New Roman"/>
                <w:bCs/>
                <w:color w:val="000000"/>
                <w:sz w:val="24"/>
                <w:szCs w:val="24"/>
                <w:highlight w:val="none"/>
                <w:lang w:eastAsia="zh-CN"/>
              </w:rPr>
              <w:t>和填埋污染控制</w:t>
            </w:r>
            <w:r>
              <w:rPr>
                <w:rFonts w:hint="default" w:ascii="Times New Roman" w:hAnsi="Times New Roman" w:eastAsia="宋体" w:cs="Times New Roman"/>
                <w:bCs/>
                <w:color w:val="000000"/>
                <w:sz w:val="24"/>
                <w:szCs w:val="24"/>
                <w:highlight w:val="none"/>
              </w:rPr>
              <w:t>标准》要求进行贮存</w:t>
            </w:r>
            <w:r>
              <w:rPr>
                <w:rFonts w:hint="default" w:ascii="Times New Roman" w:hAnsi="Times New Roman" w:eastAsia="宋体" w:cs="Times New Roman"/>
                <w:bCs/>
                <w:color w:val="000000"/>
                <w:sz w:val="24"/>
                <w:szCs w:val="24"/>
                <w:highlight w:val="none"/>
                <w:lang w:eastAsia="zh-CN"/>
              </w:rPr>
              <w:t>场所的</w:t>
            </w:r>
            <w:r>
              <w:rPr>
                <w:rFonts w:hint="default" w:ascii="Times New Roman" w:hAnsi="Times New Roman" w:eastAsia="宋体" w:cs="Times New Roman"/>
                <w:bCs/>
                <w:color w:val="000000"/>
                <w:sz w:val="24"/>
                <w:szCs w:val="24"/>
                <w:highlight w:val="none"/>
              </w:rPr>
              <w:t>建设、运行和监督管理。</w:t>
            </w:r>
            <w:r>
              <w:rPr>
                <w:rFonts w:hint="default" w:ascii="Times New Roman" w:hAnsi="Times New Roman" w:eastAsia="宋体" w:cs="Times New Roman"/>
                <w:color w:val="000000"/>
                <w:sz w:val="24"/>
                <w:highlight w:val="none"/>
              </w:rPr>
              <w:t>危险废物参照</w:t>
            </w:r>
            <w:r>
              <w:rPr>
                <w:rFonts w:hint="default" w:ascii="Times New Roman" w:hAnsi="Times New Roman" w:eastAsia="宋体" w:cs="Times New Roman"/>
                <w:color w:val="auto"/>
                <w:sz w:val="24"/>
                <w:highlight w:val="none"/>
              </w:rPr>
              <w:t>GB18597-20</w:t>
            </w:r>
            <w:r>
              <w:rPr>
                <w:rFonts w:hint="eastAsia" w:ascii="Times New Roman" w:hAnsi="Times New Roman" w:cs="Times New Roman"/>
                <w:color w:val="auto"/>
                <w:sz w:val="24"/>
                <w:highlight w:val="none"/>
                <w:lang w:val="en-US" w:eastAsia="zh-CN"/>
              </w:rPr>
              <w:t>23</w:t>
            </w:r>
            <w:r>
              <w:rPr>
                <w:rFonts w:hint="default" w:ascii="Times New Roman" w:hAnsi="Times New Roman" w:eastAsia="宋体" w:cs="Times New Roman"/>
                <w:color w:val="auto"/>
                <w:sz w:val="24"/>
                <w:highlight w:val="none"/>
              </w:rPr>
              <w:t>《危险废物贮存污染控制标准》</w:t>
            </w:r>
            <w:r>
              <w:rPr>
                <w:rFonts w:hint="default" w:ascii="Times New Roman" w:hAnsi="Times New Roman" w:eastAsia="宋体" w:cs="Times New Roman"/>
                <w:color w:val="000000"/>
                <w:sz w:val="24"/>
                <w:highlight w:val="none"/>
              </w:rPr>
              <w:t>进行贮存、运行和监督管理。</w:t>
            </w:r>
          </w:p>
        </w:tc>
      </w:tr>
      <w:tr w14:paraId="3E5CC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454" w:type="dxa"/>
            <w:noWrap w:val="0"/>
            <w:vAlign w:val="center"/>
          </w:tcPr>
          <w:p w14:paraId="042A80F8">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总量</w:t>
            </w:r>
          </w:p>
          <w:p w14:paraId="5C2607BF">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控制</w:t>
            </w:r>
          </w:p>
          <w:p w14:paraId="00123600">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指标</w:t>
            </w:r>
          </w:p>
          <w:p w14:paraId="7C0A152A">
            <w:pPr>
              <w:pStyle w:val="9"/>
              <w:rPr>
                <w:rFonts w:hint="default"/>
                <w:highlight w:val="none"/>
              </w:rPr>
            </w:pPr>
          </w:p>
          <w:p w14:paraId="0BC82797">
            <w:pPr>
              <w:rPr>
                <w:rFonts w:hint="default"/>
                <w:highlight w:val="none"/>
              </w:rPr>
            </w:pPr>
          </w:p>
          <w:p w14:paraId="742F7BF0">
            <w:pPr>
              <w:pStyle w:val="9"/>
              <w:rPr>
                <w:rFonts w:hint="default"/>
                <w:highlight w:val="none"/>
              </w:rPr>
            </w:pPr>
          </w:p>
          <w:p w14:paraId="40F7907B">
            <w:pPr>
              <w:rPr>
                <w:rFonts w:hint="default"/>
                <w:highlight w:val="none"/>
              </w:rPr>
            </w:pPr>
          </w:p>
          <w:p w14:paraId="5C8D25D4">
            <w:pPr>
              <w:pStyle w:val="9"/>
              <w:rPr>
                <w:rFonts w:hint="default"/>
                <w:highlight w:val="none"/>
              </w:rPr>
            </w:pPr>
          </w:p>
          <w:p w14:paraId="0CA108E3">
            <w:pPr>
              <w:rPr>
                <w:rFonts w:hint="default"/>
                <w:highlight w:val="none"/>
              </w:rPr>
            </w:pPr>
          </w:p>
        </w:tc>
        <w:tc>
          <w:tcPr>
            <w:tcW w:w="8063" w:type="dxa"/>
            <w:noWrap w:val="0"/>
            <w:vAlign w:val="center"/>
          </w:tcPr>
          <w:p w14:paraId="1EBECADB">
            <w:pPr>
              <w:pStyle w:val="56"/>
              <w:keepNext w:val="0"/>
              <w:keepLines w:val="0"/>
              <w:pageBreakBefore w:val="0"/>
              <w:widowControl w:val="0"/>
              <w:kinsoku/>
              <w:wordWrap/>
              <w:overflowPunct/>
              <w:topLinePunct w:val="0"/>
              <w:autoSpaceDE/>
              <w:autoSpaceDN/>
              <w:bidi w:val="0"/>
              <w:adjustRightInd w:val="0"/>
              <w:snapToGrid w:val="0"/>
              <w:spacing w:before="0" w:beforeLines="50" w:after="0" w:afterLines="0" w:line="360" w:lineRule="auto"/>
              <w:textAlignment w:val="auto"/>
              <w:outlineLvl w:val="1"/>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b/>
                <w:bCs w:val="0"/>
                <w:color w:val="auto"/>
                <w:kern w:val="2"/>
                <w:sz w:val="28"/>
                <w:szCs w:val="28"/>
                <w:highlight w:val="none"/>
                <w:lang w:val="en-US" w:eastAsia="zh-CN" w:bidi="ar-SA"/>
              </w:rPr>
              <w:t>3.</w:t>
            </w:r>
            <w:r>
              <w:rPr>
                <w:rFonts w:hint="eastAsia" w:ascii="Times New Roman" w:hAnsi="Times New Roman" w:cs="Times New Roman"/>
                <w:b/>
                <w:bCs w:val="0"/>
                <w:color w:val="auto"/>
                <w:kern w:val="2"/>
                <w:sz w:val="28"/>
                <w:szCs w:val="28"/>
                <w:highlight w:val="none"/>
                <w:lang w:val="en-US" w:eastAsia="zh-CN" w:bidi="ar-SA"/>
              </w:rPr>
              <w:t>8</w:t>
            </w:r>
            <w:r>
              <w:rPr>
                <w:rFonts w:hint="eastAsia" w:ascii="Times New Roman" w:hAnsi="Times New Roman" w:eastAsia="宋体" w:cs="Times New Roman"/>
                <w:color w:val="auto"/>
                <w:highlight w:val="none"/>
                <w:lang w:eastAsia="zh-CN"/>
              </w:rPr>
              <w:t>总量控制</w:t>
            </w:r>
          </w:p>
          <w:p w14:paraId="6ED9D788">
            <w:pPr>
              <w:spacing w:before="0" w:beforeLines="0" w:line="360" w:lineRule="auto"/>
              <w:ind w:firstLine="0" w:firstLineChars="0"/>
              <w:jc w:val="both"/>
              <w:rPr>
                <w:rFonts w:hint="default" w:ascii="Times New Roman" w:hAnsi="Times New Roman" w:eastAsia="宋体" w:cs="Times New Roman"/>
                <w:color w:val="0000FF"/>
                <w:sz w:val="24"/>
                <w:highlight w:val="none"/>
              </w:rPr>
            </w:pP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.1废水</w:t>
            </w:r>
          </w:p>
          <w:p w14:paraId="0D79149B">
            <w:pPr>
              <w:spacing w:beforeLines="0" w:line="360" w:lineRule="auto"/>
              <w:ind w:firstLine="480" w:firstLineChars="200"/>
              <w:jc w:val="both"/>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根据工程分析，</w:t>
            </w:r>
            <w:r>
              <w:rPr>
                <w:rFonts w:hint="eastAsia" w:ascii="Times New Roman" w:hAnsi="Times New Roman" w:eastAsia="宋体" w:cs="Times New Roman"/>
                <w:color w:val="000000"/>
                <w:sz w:val="24"/>
                <w:highlight w:val="none"/>
                <w:lang w:eastAsia="zh-CN"/>
              </w:rPr>
              <w:t>本</w:t>
            </w:r>
            <w:r>
              <w:rPr>
                <w:rFonts w:hint="default" w:ascii="Times New Roman" w:hAnsi="Times New Roman" w:eastAsia="宋体" w:cs="Times New Roman"/>
                <w:color w:val="000000"/>
                <w:sz w:val="24"/>
                <w:highlight w:val="none"/>
              </w:rPr>
              <w:t>项目</w:t>
            </w:r>
            <w:r>
              <w:rPr>
                <w:rFonts w:hint="eastAsia" w:ascii="Times New Roman" w:hAnsi="Times New Roman" w:eastAsia="宋体" w:cs="Times New Roman"/>
                <w:color w:val="000000"/>
                <w:sz w:val="24"/>
                <w:highlight w:val="none"/>
                <w:lang w:eastAsia="zh-CN"/>
              </w:rPr>
              <w:t>外排废水为</w:t>
            </w:r>
            <w:r>
              <w:rPr>
                <w:rFonts w:hint="default" w:ascii="Times New Roman" w:hAnsi="Times New Roman" w:eastAsia="宋体" w:cs="Times New Roman"/>
                <w:color w:val="000000"/>
                <w:sz w:val="24"/>
                <w:highlight w:val="none"/>
              </w:rPr>
              <w:t>生产废水</w:t>
            </w:r>
            <w:r>
              <w:rPr>
                <w:rFonts w:hint="eastAsia" w:ascii="Times New Roman" w:hAnsi="Times New Roman" w:eastAsia="宋体" w:cs="Times New Roman"/>
                <w:color w:val="000000"/>
                <w:sz w:val="24"/>
                <w:highlight w:val="none"/>
                <w:lang w:eastAsia="zh-CN"/>
              </w:rPr>
              <w:t>和生活污水</w:t>
            </w:r>
            <w:r>
              <w:rPr>
                <w:rFonts w:hint="default" w:ascii="Times New Roman" w:hAnsi="Times New Roman" w:eastAsia="宋体" w:cs="Times New Roman"/>
                <w:color w:val="000000"/>
                <w:sz w:val="24"/>
                <w:highlight w:val="none"/>
              </w:rPr>
              <w:t>，</w:t>
            </w:r>
            <w:r>
              <w:rPr>
                <w:rFonts w:hint="eastAsia" w:ascii="Times New Roman" w:hAnsi="Times New Roman" w:eastAsia="宋体" w:cs="Times New Roman"/>
                <w:color w:val="000000"/>
                <w:sz w:val="24"/>
                <w:highlight w:val="none"/>
                <w:lang w:eastAsia="zh-CN"/>
              </w:rPr>
              <w:t>生产废水和生活污水分别处理达标后</w:t>
            </w:r>
            <w:r>
              <w:rPr>
                <w:rFonts w:hint="default" w:ascii="Times New Roman" w:hAnsi="Times New Roman" w:eastAsia="宋体" w:cs="Times New Roman"/>
                <w:color w:val="000000"/>
                <w:sz w:val="24"/>
                <w:highlight w:val="none"/>
              </w:rPr>
              <w:t>通过</w:t>
            </w:r>
            <w:r>
              <w:rPr>
                <w:rFonts w:hint="default" w:ascii="Times New Roman" w:hAnsi="Times New Roman" w:eastAsia="宋体" w:cs="Times New Roman"/>
                <w:color w:val="000000"/>
                <w:sz w:val="24"/>
                <w:highlight w:val="none"/>
                <w:lang w:eastAsia="zh-CN"/>
              </w:rPr>
              <w:t>市政污水</w:t>
            </w:r>
            <w:r>
              <w:rPr>
                <w:rFonts w:hint="default" w:ascii="Times New Roman" w:hAnsi="Times New Roman" w:eastAsia="宋体" w:cs="Times New Roman"/>
                <w:color w:val="000000"/>
                <w:sz w:val="24"/>
                <w:highlight w:val="none"/>
              </w:rPr>
              <w:t>管网排入</w:t>
            </w:r>
            <w:r>
              <w:rPr>
                <w:rFonts w:hint="default" w:ascii="Times New Roman" w:hAnsi="Times New Roman" w:eastAsia="宋体" w:cs="Times New Roman"/>
                <w:color w:val="000000"/>
                <w:sz w:val="24"/>
                <w:szCs w:val="24"/>
                <w:highlight w:val="none"/>
                <w:lang w:eastAsia="zh-CN"/>
              </w:rPr>
              <w:t>晋江</w:t>
            </w:r>
            <w:r>
              <w:rPr>
                <w:rFonts w:hint="eastAsia" w:ascii="Times New Roman" w:hAnsi="Times New Roman" w:eastAsia="宋体" w:cs="Times New Roman"/>
                <w:color w:val="000000"/>
                <w:sz w:val="24"/>
                <w:szCs w:val="24"/>
                <w:highlight w:val="none"/>
                <w:lang w:eastAsia="zh-CN"/>
              </w:rPr>
              <w:t>仙石</w:t>
            </w:r>
            <w:r>
              <w:rPr>
                <w:rFonts w:hint="default" w:ascii="Times New Roman" w:hAnsi="Times New Roman" w:eastAsia="宋体" w:cs="Times New Roman"/>
                <w:color w:val="000000"/>
                <w:sz w:val="24"/>
                <w:szCs w:val="24"/>
                <w:highlight w:val="none"/>
                <w:lang w:eastAsia="zh-CN"/>
              </w:rPr>
              <w:t>污水处理厂</w:t>
            </w:r>
            <w:r>
              <w:rPr>
                <w:rFonts w:hint="default" w:ascii="Times New Roman" w:hAnsi="Times New Roman" w:eastAsia="宋体" w:cs="Times New Roman"/>
                <w:color w:val="000000"/>
                <w:sz w:val="24"/>
                <w:highlight w:val="none"/>
                <w:lang w:eastAsia="zh-CN"/>
              </w:rPr>
              <w:t>统一处理</w:t>
            </w:r>
            <w:r>
              <w:rPr>
                <w:rFonts w:hint="default" w:ascii="Times New Roman" w:hAnsi="Times New Roman" w:eastAsia="宋体" w:cs="Times New Roman"/>
                <w:color w:val="000000"/>
                <w:sz w:val="24"/>
                <w:highlight w:val="none"/>
              </w:rPr>
              <w:t>，主要污染物达标排放量为COD</w:t>
            </w:r>
            <w:r>
              <w:rPr>
                <w:rFonts w:hint="eastAsia" w:ascii="Times New Roman" w:hAnsi="Times New Roman" w:eastAsia="宋体" w:cs="Times New Roman"/>
                <w:color w:val="000000"/>
                <w:sz w:val="24"/>
                <w:highlight w:val="none"/>
                <w:lang w:eastAsia="zh-CN"/>
              </w:rPr>
              <w:t>：</w:t>
            </w:r>
            <w:r>
              <w:rPr>
                <w:rFonts w:hint="eastAsia" w:cs="Times New Roman"/>
                <w:color w:val="000000"/>
                <w:sz w:val="24"/>
                <w:highlight w:val="none"/>
                <w:lang w:val="en-US" w:eastAsia="zh-CN"/>
              </w:rPr>
              <w:t>0.149</w:t>
            </w:r>
            <w:r>
              <w:rPr>
                <w:rFonts w:hint="default" w:ascii="Times New Roman" w:hAnsi="Times New Roman" w:eastAsia="宋体" w:cs="Times New Roman"/>
                <w:color w:val="000000"/>
                <w:sz w:val="24"/>
                <w:highlight w:val="none"/>
              </w:rPr>
              <w:t>t/a、NH</w:t>
            </w:r>
            <w:r>
              <w:rPr>
                <w:rFonts w:hint="default" w:ascii="Times New Roman" w:hAnsi="Times New Roman" w:eastAsia="宋体" w:cs="Times New Roman"/>
                <w:color w:val="000000"/>
                <w:sz w:val="24"/>
                <w:highlight w:val="none"/>
                <w:vertAlign w:val="subscript"/>
              </w:rPr>
              <w:t>3</w:t>
            </w:r>
            <w:r>
              <w:rPr>
                <w:rFonts w:hint="default" w:ascii="Times New Roman" w:hAnsi="Times New Roman" w:eastAsia="宋体" w:cs="Times New Roman"/>
                <w:color w:val="000000"/>
                <w:sz w:val="24"/>
                <w:highlight w:val="none"/>
              </w:rPr>
              <w:t>-N</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0.0</w:t>
            </w:r>
            <w:r>
              <w:rPr>
                <w:rFonts w:hint="eastAsia" w:cs="Times New Roman"/>
                <w:color w:val="000000"/>
                <w:sz w:val="24"/>
                <w:highlight w:val="none"/>
                <w:lang w:val="en-US" w:eastAsia="zh-CN"/>
              </w:rPr>
              <w:t>15</w:t>
            </w:r>
            <w:r>
              <w:rPr>
                <w:rFonts w:hint="default" w:ascii="Times New Roman" w:hAnsi="Times New Roman" w:eastAsia="宋体" w:cs="Times New Roman"/>
                <w:color w:val="000000"/>
                <w:sz w:val="24"/>
                <w:highlight w:val="none"/>
              </w:rPr>
              <w:t>t/a；总量控制建议指标为COD</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0.</w:t>
            </w:r>
            <w:r>
              <w:rPr>
                <w:rFonts w:hint="eastAsia" w:cs="Times New Roman"/>
                <w:color w:val="000000"/>
                <w:sz w:val="24"/>
                <w:highlight w:val="none"/>
                <w:lang w:val="en-US" w:eastAsia="zh-CN"/>
              </w:rPr>
              <w:t>149</w:t>
            </w:r>
            <w:r>
              <w:rPr>
                <w:rFonts w:hint="default" w:ascii="Times New Roman" w:hAnsi="Times New Roman" w:eastAsia="宋体" w:cs="Times New Roman"/>
                <w:color w:val="000000"/>
                <w:sz w:val="24"/>
                <w:highlight w:val="none"/>
              </w:rPr>
              <w:t>t/a，NH</w:t>
            </w:r>
            <w:r>
              <w:rPr>
                <w:rFonts w:hint="default" w:ascii="Times New Roman" w:hAnsi="Times New Roman" w:eastAsia="宋体" w:cs="Times New Roman"/>
                <w:color w:val="000000"/>
                <w:sz w:val="24"/>
                <w:highlight w:val="none"/>
                <w:vertAlign w:val="subscript"/>
              </w:rPr>
              <w:t>3</w:t>
            </w:r>
            <w:r>
              <w:rPr>
                <w:rFonts w:hint="default" w:ascii="Times New Roman" w:hAnsi="Times New Roman" w:eastAsia="宋体" w:cs="Times New Roman"/>
                <w:color w:val="000000"/>
                <w:sz w:val="24"/>
                <w:highlight w:val="none"/>
              </w:rPr>
              <w:t>-N</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0.0</w:t>
            </w:r>
            <w:r>
              <w:rPr>
                <w:rFonts w:hint="eastAsia" w:cs="Times New Roman"/>
                <w:color w:val="000000"/>
                <w:sz w:val="24"/>
                <w:highlight w:val="none"/>
                <w:lang w:val="en-US" w:eastAsia="zh-CN"/>
              </w:rPr>
              <w:t>15</w:t>
            </w:r>
            <w:r>
              <w:rPr>
                <w:rFonts w:hint="default" w:ascii="Times New Roman" w:hAnsi="Times New Roman" w:eastAsia="宋体" w:cs="Times New Roman"/>
                <w:color w:val="000000"/>
                <w:sz w:val="24"/>
                <w:highlight w:val="none"/>
              </w:rPr>
              <w:t>t/a。</w:t>
            </w:r>
          </w:p>
          <w:p w14:paraId="71FB9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lang w:val="en-US" w:eastAsia="zh-CN"/>
              </w:rPr>
              <w:t>1</w:t>
            </w:r>
            <w:r>
              <w:rPr>
                <w:rFonts w:hint="eastAsia" w:cs="Times New Roman"/>
                <w:b/>
                <w:color w:val="auto"/>
                <w:sz w:val="24"/>
                <w:szCs w:val="24"/>
                <w:highlight w:val="none"/>
                <w:lang w:val="en-US" w:eastAsia="zh-CN"/>
              </w:rPr>
              <w:t>2</w:t>
            </w:r>
            <w:r>
              <w:rPr>
                <w:rFonts w:hint="eastAsia" w:ascii="Times New Roman" w:hAnsi="Times New Roman" w:eastAsia="宋体" w:cs="Times New Roman"/>
                <w:b/>
                <w:color w:val="auto"/>
                <w:sz w:val="24"/>
                <w:szCs w:val="24"/>
                <w:highlight w:val="none"/>
                <w:lang w:val="en-US" w:eastAsia="zh-CN"/>
              </w:rPr>
              <w:t xml:space="preserve"> </w:t>
            </w:r>
            <w:r>
              <w:rPr>
                <w:rFonts w:hint="eastAsia" w:ascii="Times New Roman" w:hAnsi="Times New Roman" w:eastAsia="宋体" w:cs="Times New Roman"/>
                <w:b/>
                <w:color w:val="auto"/>
                <w:sz w:val="24"/>
                <w:szCs w:val="24"/>
                <w:highlight w:val="none"/>
                <w:lang w:eastAsia="zh-CN"/>
              </w:rPr>
              <w:t>废水总量控制指标一览表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5"/>
              <w:gridCol w:w="2302"/>
              <w:gridCol w:w="2302"/>
              <w:gridCol w:w="2302"/>
            </w:tblGrid>
            <w:tr w14:paraId="324175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6" w:type="pct"/>
                  <w:noWrap w:val="0"/>
                  <w:vAlign w:val="center"/>
                </w:tcPr>
                <w:p w14:paraId="5D30E55E">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项目</w:t>
                  </w:r>
                </w:p>
              </w:tc>
              <w:tc>
                <w:tcPr>
                  <w:tcW w:w="1467" w:type="pct"/>
                  <w:noWrap w:val="0"/>
                  <w:vAlign w:val="center"/>
                </w:tcPr>
                <w:p w14:paraId="7E8B26ED">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产生量（</w:t>
                  </w:r>
                  <w:r>
                    <w:rPr>
                      <w:rFonts w:hint="eastAsia" w:ascii="Times New Roman" w:hAnsi="Times New Roman" w:eastAsia="宋体" w:cs="Times New Roman"/>
                      <w:b w:val="0"/>
                      <w:bCs w:val="0"/>
                      <w:color w:val="auto"/>
                      <w:sz w:val="21"/>
                      <w:szCs w:val="21"/>
                      <w:highlight w:val="none"/>
                      <w:lang w:val="en-US" w:eastAsia="zh-CN"/>
                    </w:rPr>
                    <w:t>t/a</w:t>
                  </w:r>
                  <w:r>
                    <w:rPr>
                      <w:rFonts w:hint="eastAsia" w:ascii="Times New Roman" w:hAnsi="Times New Roman" w:eastAsia="宋体" w:cs="Times New Roman"/>
                      <w:b w:val="0"/>
                      <w:bCs w:val="0"/>
                      <w:color w:val="auto"/>
                      <w:sz w:val="21"/>
                      <w:szCs w:val="21"/>
                      <w:highlight w:val="none"/>
                      <w:lang w:eastAsia="zh-CN"/>
                    </w:rPr>
                    <w:t>）</w:t>
                  </w:r>
                </w:p>
              </w:tc>
              <w:tc>
                <w:tcPr>
                  <w:tcW w:w="1467" w:type="pct"/>
                  <w:noWrap w:val="0"/>
                  <w:vAlign w:val="center"/>
                </w:tcPr>
                <w:p w14:paraId="7E866681">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处理后的削减量（</w:t>
                  </w:r>
                  <w:r>
                    <w:rPr>
                      <w:rFonts w:hint="eastAsia" w:ascii="Times New Roman" w:hAnsi="Times New Roman" w:eastAsia="宋体" w:cs="Times New Roman"/>
                      <w:b w:val="0"/>
                      <w:bCs w:val="0"/>
                      <w:color w:val="auto"/>
                      <w:sz w:val="21"/>
                      <w:szCs w:val="21"/>
                      <w:highlight w:val="none"/>
                      <w:lang w:val="en-US" w:eastAsia="zh-CN"/>
                    </w:rPr>
                    <w:t>t/a</w:t>
                  </w:r>
                  <w:r>
                    <w:rPr>
                      <w:rFonts w:hint="eastAsia" w:ascii="Times New Roman" w:hAnsi="Times New Roman" w:eastAsia="宋体" w:cs="Times New Roman"/>
                      <w:b w:val="0"/>
                      <w:bCs w:val="0"/>
                      <w:color w:val="auto"/>
                      <w:sz w:val="21"/>
                      <w:szCs w:val="21"/>
                      <w:highlight w:val="none"/>
                      <w:lang w:eastAsia="zh-CN"/>
                    </w:rPr>
                    <w:t>）</w:t>
                  </w:r>
                </w:p>
              </w:tc>
              <w:tc>
                <w:tcPr>
                  <w:tcW w:w="1467" w:type="pct"/>
                  <w:noWrap w:val="0"/>
                  <w:vAlign w:val="center"/>
                </w:tcPr>
                <w:p w14:paraId="421D1196">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处理后的排放量（</w:t>
                  </w:r>
                  <w:r>
                    <w:rPr>
                      <w:rFonts w:hint="eastAsia" w:ascii="Times New Roman" w:hAnsi="Times New Roman" w:eastAsia="宋体" w:cs="Times New Roman"/>
                      <w:b w:val="0"/>
                      <w:bCs w:val="0"/>
                      <w:color w:val="auto"/>
                      <w:sz w:val="21"/>
                      <w:szCs w:val="21"/>
                      <w:highlight w:val="none"/>
                      <w:lang w:val="en-US" w:eastAsia="zh-CN"/>
                    </w:rPr>
                    <w:t>t/a</w:t>
                  </w:r>
                  <w:r>
                    <w:rPr>
                      <w:rFonts w:hint="eastAsia" w:ascii="Times New Roman" w:hAnsi="Times New Roman" w:eastAsia="宋体" w:cs="Times New Roman"/>
                      <w:b w:val="0"/>
                      <w:bCs w:val="0"/>
                      <w:color w:val="auto"/>
                      <w:sz w:val="21"/>
                      <w:szCs w:val="21"/>
                      <w:highlight w:val="none"/>
                      <w:lang w:eastAsia="zh-CN"/>
                    </w:rPr>
                    <w:t>）</w:t>
                  </w:r>
                </w:p>
              </w:tc>
            </w:tr>
            <w:tr w14:paraId="7901E0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596" w:type="pct"/>
                  <w:noWrap w:val="0"/>
                  <w:vAlign w:val="center"/>
                </w:tcPr>
                <w:p w14:paraId="796E4540">
                  <w:pPr>
                    <w:spacing w:line="3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废水</w:t>
                  </w:r>
                </w:p>
              </w:tc>
              <w:tc>
                <w:tcPr>
                  <w:tcW w:w="1467" w:type="pct"/>
                  <w:noWrap w:val="0"/>
                  <w:vAlign w:val="center"/>
                </w:tcPr>
                <w:p w14:paraId="325CFF49">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2970</w:t>
                  </w:r>
                </w:p>
              </w:tc>
              <w:tc>
                <w:tcPr>
                  <w:tcW w:w="1467" w:type="pct"/>
                  <w:noWrap w:val="0"/>
                  <w:vAlign w:val="center"/>
                </w:tcPr>
                <w:p w14:paraId="3AA6AABC">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467" w:type="pct"/>
                  <w:noWrap w:val="0"/>
                  <w:vAlign w:val="center"/>
                </w:tcPr>
                <w:p w14:paraId="633218DE">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2970</w:t>
                  </w:r>
                </w:p>
              </w:tc>
            </w:tr>
            <w:tr w14:paraId="043488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6" w:type="pct"/>
                  <w:noWrap w:val="0"/>
                  <w:vAlign w:val="center"/>
                </w:tcPr>
                <w:p w14:paraId="56ACFDA9">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p>
              </w:tc>
              <w:tc>
                <w:tcPr>
                  <w:tcW w:w="1467" w:type="pct"/>
                  <w:noWrap w:val="0"/>
                  <w:vAlign w:val="center"/>
                </w:tcPr>
                <w:p w14:paraId="3B0F3CD6">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1.014</w:t>
                  </w:r>
                </w:p>
              </w:tc>
              <w:tc>
                <w:tcPr>
                  <w:tcW w:w="1467" w:type="pct"/>
                  <w:noWrap w:val="0"/>
                  <w:vAlign w:val="center"/>
                </w:tcPr>
                <w:p w14:paraId="58502391">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0.865</w:t>
                  </w:r>
                </w:p>
              </w:tc>
              <w:tc>
                <w:tcPr>
                  <w:tcW w:w="1467" w:type="pct"/>
                  <w:noWrap w:val="0"/>
                  <w:vAlign w:val="center"/>
                </w:tcPr>
                <w:p w14:paraId="1F51147E">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0.149</w:t>
                  </w:r>
                </w:p>
              </w:tc>
            </w:tr>
            <w:tr w14:paraId="60BF62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6" w:type="pct"/>
                  <w:noWrap w:val="0"/>
                  <w:vAlign w:val="center"/>
                </w:tcPr>
                <w:p w14:paraId="3402443B">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sz w:val="24"/>
                      <w:highlight w:val="none"/>
                    </w:rPr>
                    <w:t>NH</w:t>
                  </w:r>
                  <w:r>
                    <w:rPr>
                      <w:rFonts w:hint="default" w:ascii="Times New Roman" w:hAnsi="Times New Roman" w:eastAsia="宋体" w:cs="Times New Roman"/>
                      <w:color w:val="000000"/>
                      <w:sz w:val="24"/>
                      <w:highlight w:val="none"/>
                      <w:vertAlign w:val="subscript"/>
                    </w:rPr>
                    <w:t>3</w:t>
                  </w:r>
                  <w:r>
                    <w:rPr>
                      <w:rFonts w:hint="default" w:ascii="Times New Roman" w:hAnsi="Times New Roman" w:eastAsia="宋体" w:cs="Times New Roman"/>
                      <w:color w:val="000000"/>
                      <w:sz w:val="24"/>
                      <w:highlight w:val="none"/>
                    </w:rPr>
                    <w:t>-N</w:t>
                  </w:r>
                </w:p>
              </w:tc>
              <w:tc>
                <w:tcPr>
                  <w:tcW w:w="1467" w:type="pct"/>
                  <w:noWrap w:val="0"/>
                  <w:vAlign w:val="center"/>
                </w:tcPr>
                <w:p w14:paraId="6650D0C4">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0.151</w:t>
                  </w:r>
                </w:p>
              </w:tc>
              <w:tc>
                <w:tcPr>
                  <w:tcW w:w="1467" w:type="pct"/>
                  <w:noWrap w:val="0"/>
                  <w:vAlign w:val="center"/>
                </w:tcPr>
                <w:p w14:paraId="17C81878">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0.136</w:t>
                  </w:r>
                </w:p>
              </w:tc>
              <w:tc>
                <w:tcPr>
                  <w:tcW w:w="1467" w:type="pct"/>
                  <w:noWrap w:val="0"/>
                  <w:vAlign w:val="center"/>
                </w:tcPr>
                <w:p w14:paraId="2898A9DE">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15</w:t>
                  </w:r>
                </w:p>
              </w:tc>
            </w:tr>
          </w:tbl>
          <w:p w14:paraId="0A69E0A9">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宋体" w:hAnsi="宋体" w:eastAsia="宋体" w:cs="宋体"/>
                <w:color w:val="000000"/>
                <w:sz w:val="24"/>
                <w:highlight w:val="none"/>
                <w:lang w:val="en-US" w:eastAsia="zh-CN"/>
              </w:rPr>
            </w:pPr>
            <w:r>
              <w:rPr>
                <w:rFonts w:hint="default" w:ascii="Times New Roman" w:hAnsi="Times New Roman" w:eastAsia="宋体" w:cs="Times New Roman"/>
                <w:color w:val="000000"/>
                <w:sz w:val="24"/>
                <w:highlight w:val="none"/>
              </w:rPr>
              <w:t>根据</w:t>
            </w:r>
            <w:r>
              <w:rPr>
                <w:rFonts w:hint="eastAsia" w:ascii="Times New Roman" w:hAnsi="Times New Roman" w:eastAsia="宋体" w:cs="Times New Roman"/>
                <w:color w:val="000000"/>
                <w:sz w:val="24"/>
                <w:highlight w:val="none"/>
                <w:lang w:eastAsia="zh-CN"/>
              </w:rPr>
              <w:t>《泉州市环保局关于全面实施排污权有偿使用和交易后做好建设项目总量指标管理工作有关意见的通知</w:t>
            </w:r>
            <w:r>
              <w:rPr>
                <w:rFonts w:hint="default" w:ascii="Times New Roman" w:hAnsi="Times New Roman" w:eastAsia="宋体" w:cs="Times New Roman"/>
                <w:color w:val="000000"/>
                <w:sz w:val="24"/>
                <w:highlight w:val="none"/>
                <w:lang w:eastAsia="zh-CN"/>
              </w:rPr>
              <w:t>》（泉环保总量〔</w:t>
            </w:r>
            <w:r>
              <w:rPr>
                <w:rFonts w:hint="default" w:ascii="Times New Roman" w:hAnsi="Times New Roman" w:eastAsia="宋体" w:cs="Times New Roman"/>
                <w:color w:val="000000"/>
                <w:sz w:val="24"/>
                <w:highlight w:val="none"/>
                <w:lang w:val="en-US" w:eastAsia="zh-CN"/>
              </w:rPr>
              <w:t>2017</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lang w:val="en-US" w:eastAsia="zh-CN"/>
              </w:rPr>
              <w:t>1号）及《进一步优化环评审批服务助推两大协同发展区高质量发展的意见》（闽环发</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lang w:val="en-US" w:eastAsia="zh-CN"/>
              </w:rPr>
              <w:t>2018</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lang w:val="en-US" w:eastAsia="zh-CN"/>
              </w:rPr>
              <w:t>26号）</w:t>
            </w:r>
            <w:r>
              <w:rPr>
                <w:rFonts w:hint="eastAsia" w:ascii="宋体" w:hAnsi="宋体" w:eastAsia="宋体" w:cs="宋体"/>
                <w:color w:val="000000"/>
                <w:sz w:val="24"/>
                <w:highlight w:val="none"/>
                <w:lang w:val="en-US" w:eastAsia="zh-CN"/>
              </w:rPr>
              <w:t>，</w:t>
            </w:r>
            <w:r>
              <w:rPr>
                <w:rFonts w:hint="eastAsia" w:ascii="宋体" w:hAnsi="宋体" w:cs="宋体"/>
                <w:color w:val="000000"/>
                <w:sz w:val="24"/>
                <w:highlight w:val="none"/>
                <w:lang w:val="en-US" w:eastAsia="zh-CN"/>
              </w:rPr>
              <w:t>项目改扩建前已有相应的排污权指标，无需再次购买相应的排污权指标</w:t>
            </w:r>
            <w:r>
              <w:rPr>
                <w:rFonts w:hint="eastAsia" w:ascii="宋体" w:hAnsi="宋体" w:eastAsia="宋体" w:cs="宋体"/>
                <w:color w:val="000000"/>
                <w:sz w:val="24"/>
                <w:highlight w:val="none"/>
                <w:lang w:val="en-US" w:eastAsia="zh-CN"/>
              </w:rPr>
              <w:t>。</w:t>
            </w:r>
          </w:p>
          <w:p w14:paraId="4191BC47">
            <w:pPr>
              <w:spacing w:before="0" w:beforeLines="0" w:line="360" w:lineRule="auto"/>
              <w:ind w:firstLine="0" w:firstLineChars="0"/>
              <w:jc w:val="both"/>
              <w:rPr>
                <w:rFonts w:hint="default" w:ascii="Times New Roman" w:hAnsi="Times New Roman" w:eastAsia="宋体" w:cs="Times New Roman"/>
                <w:color w:val="000000"/>
                <w:sz w:val="24"/>
                <w:highlight w:val="none"/>
              </w:rPr>
            </w:pPr>
            <w:r>
              <w:rPr>
                <w:rFonts w:hint="default" w:ascii="Times New Roman" w:hAnsi="Times New Roman" w:eastAsia="宋体" w:cs="Times New Roman"/>
                <w:b/>
                <w:bCs/>
                <w:color w:val="000000"/>
                <w:sz w:val="24"/>
                <w:szCs w:val="24"/>
                <w:highlight w:val="none"/>
                <w:lang w:val="en-US" w:eastAsia="zh-CN"/>
              </w:rPr>
              <w:t>3.</w:t>
            </w:r>
            <w:r>
              <w:rPr>
                <w:rFonts w:hint="eastAsia" w:cs="Times New Roman"/>
                <w:b/>
                <w:bCs/>
                <w:color w:val="000000"/>
                <w:sz w:val="24"/>
                <w:szCs w:val="24"/>
                <w:highlight w:val="none"/>
                <w:lang w:val="en-US" w:eastAsia="zh-CN"/>
              </w:rPr>
              <w:t>8</w:t>
            </w:r>
            <w:r>
              <w:rPr>
                <w:rFonts w:hint="eastAsia" w:ascii="Times New Roman" w:hAnsi="Times New Roman" w:eastAsia="宋体" w:cs="Times New Roman"/>
                <w:b/>
                <w:bCs/>
                <w:color w:val="000000"/>
                <w:sz w:val="24"/>
                <w:szCs w:val="24"/>
                <w:highlight w:val="none"/>
                <w:lang w:val="en-US" w:eastAsia="zh-CN"/>
              </w:rPr>
              <w:t>.2废气</w:t>
            </w:r>
          </w:p>
          <w:p w14:paraId="7A2E14BA">
            <w:pPr>
              <w:spacing w:beforeLines="0" w:line="360" w:lineRule="auto"/>
              <w:ind w:firstLine="480" w:firstLineChars="20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000000"/>
                <w:sz w:val="24"/>
                <w:highlight w:val="none"/>
              </w:rPr>
              <w:t>根据工程分析，项目</w:t>
            </w:r>
            <w:r>
              <w:rPr>
                <w:rFonts w:hint="eastAsia" w:ascii="Times New Roman" w:hAnsi="Times New Roman" w:eastAsia="宋体" w:cs="Times New Roman"/>
                <w:color w:val="000000"/>
                <w:sz w:val="24"/>
                <w:highlight w:val="none"/>
                <w:lang w:eastAsia="zh-CN"/>
              </w:rPr>
              <w:t>非甲烷总烃排放量为</w:t>
            </w:r>
            <w:r>
              <w:rPr>
                <w:rFonts w:hint="eastAsia" w:cs="Times New Roman"/>
                <w:color w:val="000000"/>
                <w:sz w:val="24"/>
                <w:highlight w:val="none"/>
                <w:lang w:val="en-US" w:eastAsia="zh-CN"/>
              </w:rPr>
              <w:t>0.2905</w:t>
            </w:r>
            <w:r>
              <w:rPr>
                <w:rFonts w:hint="default" w:ascii="Times New Roman" w:hAnsi="Times New Roman" w:eastAsia="宋体" w:cs="Times New Roman"/>
                <w:color w:val="000000"/>
                <w:sz w:val="24"/>
                <w:highlight w:val="none"/>
              </w:rPr>
              <w:t>t/a。</w:t>
            </w:r>
            <w:r>
              <w:rPr>
                <w:rFonts w:hint="eastAsia" w:ascii="Times New Roman" w:hAnsi="Times New Roman" w:eastAsia="宋体" w:cs="Times New Roman"/>
                <w:color w:val="000000"/>
                <w:sz w:val="24"/>
                <w:highlight w:val="none"/>
                <w:lang w:eastAsia="zh-CN"/>
              </w:rPr>
              <w:t>根据《福建省人民政府关于实施“三线一单”生态环境分区管控的通知》（</w:t>
            </w:r>
            <w:r>
              <w:rPr>
                <w:rFonts w:hint="default" w:ascii="Times New Roman" w:hAnsi="Times New Roman" w:eastAsia="宋体" w:cs="Times New Roman"/>
                <w:color w:val="000000"/>
                <w:sz w:val="24"/>
                <w:highlight w:val="none"/>
                <w:lang w:eastAsia="zh-CN"/>
              </w:rPr>
              <w:t>泉政〔</w:t>
            </w:r>
            <w:r>
              <w:rPr>
                <w:rFonts w:hint="default" w:ascii="Times New Roman" w:hAnsi="Times New Roman" w:eastAsia="宋体" w:cs="Times New Roman"/>
                <w:color w:val="000000"/>
                <w:sz w:val="24"/>
                <w:highlight w:val="none"/>
                <w:lang w:val="en-US" w:eastAsia="zh-CN"/>
              </w:rPr>
              <w:t>2021</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lang w:val="en-US" w:eastAsia="zh-CN"/>
              </w:rPr>
              <w:t>50号</w:t>
            </w:r>
            <w:r>
              <w:rPr>
                <w:rFonts w:hint="eastAsia" w:ascii="宋体" w:hAnsi="宋体" w:eastAsia="宋体" w:cs="宋体"/>
                <w:color w:val="000000"/>
                <w:sz w:val="24"/>
                <w:highlight w:val="none"/>
                <w:lang w:val="en-US" w:eastAsia="zh-CN"/>
              </w:rPr>
              <w:t>）的要求，设计新增</w:t>
            </w:r>
            <w:r>
              <w:rPr>
                <w:rFonts w:hint="default" w:ascii="Times New Roman" w:hAnsi="Times New Roman" w:eastAsia="宋体" w:cs="Times New Roman"/>
                <w:color w:val="000000"/>
                <w:sz w:val="24"/>
                <w:highlight w:val="none"/>
                <w:lang w:val="en-US" w:eastAsia="zh-CN"/>
              </w:rPr>
              <w:t>VOCs</w:t>
            </w:r>
            <w:r>
              <w:rPr>
                <w:rFonts w:hint="eastAsia" w:ascii="宋体" w:hAnsi="宋体" w:eastAsia="宋体" w:cs="宋体"/>
                <w:color w:val="000000"/>
                <w:sz w:val="24"/>
                <w:highlight w:val="none"/>
                <w:lang w:val="en-US" w:eastAsia="zh-CN"/>
              </w:rPr>
              <w:t>排放项目，实行</w:t>
            </w:r>
            <w:r>
              <w:rPr>
                <w:rFonts w:hint="default" w:ascii="Times New Roman" w:hAnsi="Times New Roman" w:eastAsia="宋体" w:cs="Times New Roman"/>
                <w:color w:val="000000"/>
                <w:sz w:val="24"/>
                <w:highlight w:val="none"/>
                <w:lang w:val="en-US" w:eastAsia="zh-CN"/>
              </w:rPr>
              <w:t>1.2</w:t>
            </w:r>
            <w:r>
              <w:rPr>
                <w:rFonts w:hint="eastAsia" w:ascii="宋体" w:hAnsi="宋体" w:eastAsia="宋体" w:cs="宋体"/>
                <w:color w:val="000000"/>
                <w:sz w:val="24"/>
                <w:highlight w:val="none"/>
                <w:lang w:val="en-US" w:eastAsia="zh-CN"/>
              </w:rPr>
              <w:t>倍削减替代，由建设单位根据环评报告核算作为总量控制建议指标，在报地方生态环境主管部门批准认可后，方可作为本项目大气污染物总排放总量控制指标。</w:t>
            </w:r>
          </w:p>
          <w:p w14:paraId="0E4289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lang w:val="en-US" w:eastAsia="zh-CN"/>
              </w:rPr>
              <w:t>1</w:t>
            </w:r>
            <w:r>
              <w:rPr>
                <w:rFonts w:hint="eastAsia"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lang w:val="en-US" w:eastAsia="zh-CN"/>
              </w:rPr>
              <w:t xml:space="preserve"> </w:t>
            </w:r>
            <w:r>
              <w:rPr>
                <w:rFonts w:hint="eastAsia" w:ascii="Times New Roman" w:hAnsi="Times New Roman" w:eastAsia="宋体" w:cs="Times New Roman"/>
                <w:b/>
                <w:color w:val="auto"/>
                <w:sz w:val="24"/>
                <w:szCs w:val="24"/>
                <w:highlight w:val="none"/>
                <w:lang w:eastAsia="zh-CN"/>
              </w:rPr>
              <w:t>废</w:t>
            </w:r>
            <w:r>
              <w:rPr>
                <w:rFonts w:hint="eastAsia" w:cs="Times New Roman"/>
                <w:b/>
                <w:color w:val="auto"/>
                <w:sz w:val="24"/>
                <w:szCs w:val="24"/>
                <w:highlight w:val="none"/>
                <w:lang w:eastAsia="zh-CN"/>
              </w:rPr>
              <w:t>气</w:t>
            </w:r>
            <w:r>
              <w:rPr>
                <w:rFonts w:hint="eastAsia" w:ascii="Times New Roman" w:hAnsi="Times New Roman" w:eastAsia="宋体" w:cs="Times New Roman"/>
                <w:b/>
                <w:color w:val="auto"/>
                <w:sz w:val="24"/>
                <w:szCs w:val="24"/>
                <w:highlight w:val="none"/>
                <w:lang w:eastAsia="zh-CN"/>
              </w:rPr>
              <w:t>总量控制指标一览表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6"/>
              <w:gridCol w:w="900"/>
              <w:gridCol w:w="873"/>
              <w:gridCol w:w="914"/>
              <w:gridCol w:w="872"/>
              <w:gridCol w:w="1323"/>
              <w:gridCol w:w="2094"/>
            </w:tblGrid>
            <w:tr w14:paraId="63C5D3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5" w:type="pct"/>
                  <w:gridSpan w:val="2"/>
                  <w:noWrap w:val="0"/>
                  <w:vAlign w:val="center"/>
                </w:tcPr>
                <w:p w14:paraId="3F565239">
                  <w:pPr>
                    <w:spacing w:line="340" w:lineRule="exact"/>
                    <w:ind w:firstLine="0" w:firstLineChars="0"/>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eastAsia="zh-CN"/>
                    </w:rPr>
                    <w:t>项目</w:t>
                  </w:r>
                </w:p>
              </w:tc>
              <w:tc>
                <w:tcPr>
                  <w:tcW w:w="556" w:type="pct"/>
                  <w:noWrap w:val="0"/>
                  <w:vAlign w:val="center"/>
                </w:tcPr>
                <w:p w14:paraId="54F67564">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产生量</w:t>
                  </w:r>
                </w:p>
                <w:p w14:paraId="21DEECBF">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t/a</w:t>
                  </w:r>
                  <w:r>
                    <w:rPr>
                      <w:rFonts w:hint="eastAsia" w:ascii="Times New Roman" w:hAnsi="Times New Roman" w:eastAsia="宋体" w:cs="Times New Roman"/>
                      <w:b w:val="0"/>
                      <w:bCs w:val="0"/>
                      <w:color w:val="auto"/>
                      <w:sz w:val="21"/>
                      <w:szCs w:val="21"/>
                      <w:highlight w:val="none"/>
                      <w:lang w:eastAsia="zh-CN"/>
                    </w:rPr>
                    <w:t>）</w:t>
                  </w:r>
                </w:p>
              </w:tc>
              <w:tc>
                <w:tcPr>
                  <w:tcW w:w="582" w:type="pct"/>
                  <w:noWrap w:val="0"/>
                  <w:vAlign w:val="center"/>
                </w:tcPr>
                <w:p w14:paraId="6692FF7E">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削减量</w:t>
                  </w:r>
                </w:p>
                <w:p w14:paraId="2E7A1CF1">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t/a</w:t>
                  </w:r>
                  <w:r>
                    <w:rPr>
                      <w:rFonts w:hint="eastAsia" w:ascii="Times New Roman" w:hAnsi="Times New Roman" w:eastAsia="宋体" w:cs="Times New Roman"/>
                      <w:b w:val="0"/>
                      <w:bCs w:val="0"/>
                      <w:color w:val="auto"/>
                      <w:sz w:val="21"/>
                      <w:szCs w:val="21"/>
                      <w:highlight w:val="none"/>
                      <w:lang w:eastAsia="zh-CN"/>
                    </w:rPr>
                    <w:t>）</w:t>
                  </w:r>
                </w:p>
              </w:tc>
              <w:tc>
                <w:tcPr>
                  <w:tcW w:w="555" w:type="pct"/>
                  <w:noWrap w:val="0"/>
                  <w:vAlign w:val="center"/>
                </w:tcPr>
                <w:p w14:paraId="2AE37FD7">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排放量</w:t>
                  </w:r>
                </w:p>
                <w:p w14:paraId="453F4446">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t/a</w:t>
                  </w:r>
                  <w:r>
                    <w:rPr>
                      <w:rFonts w:hint="eastAsia" w:ascii="Times New Roman" w:hAnsi="Times New Roman" w:eastAsia="宋体" w:cs="Times New Roman"/>
                      <w:b w:val="0"/>
                      <w:bCs w:val="0"/>
                      <w:color w:val="auto"/>
                      <w:sz w:val="21"/>
                      <w:szCs w:val="21"/>
                      <w:highlight w:val="none"/>
                      <w:lang w:eastAsia="zh-CN"/>
                    </w:rPr>
                    <w:t>）</w:t>
                  </w:r>
                </w:p>
              </w:tc>
              <w:tc>
                <w:tcPr>
                  <w:tcW w:w="843" w:type="pct"/>
                  <w:noWrap w:val="0"/>
                  <w:vAlign w:val="center"/>
                </w:tcPr>
                <w:p w14:paraId="6E755FCA">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新增排放量（</w:t>
                  </w:r>
                  <w:r>
                    <w:rPr>
                      <w:rFonts w:hint="eastAsia" w:ascii="Times New Roman" w:hAnsi="Times New Roman" w:eastAsia="宋体" w:cs="Times New Roman"/>
                      <w:b w:val="0"/>
                      <w:bCs w:val="0"/>
                      <w:color w:val="auto"/>
                      <w:sz w:val="21"/>
                      <w:szCs w:val="21"/>
                      <w:highlight w:val="none"/>
                      <w:lang w:val="en-US" w:eastAsia="zh-CN"/>
                    </w:rPr>
                    <w:t>t/a</w:t>
                  </w:r>
                  <w:r>
                    <w:rPr>
                      <w:rFonts w:hint="eastAsia" w:ascii="Times New Roman" w:hAnsi="Times New Roman" w:eastAsia="宋体" w:cs="Times New Roman"/>
                      <w:b w:val="0"/>
                      <w:bCs w:val="0"/>
                      <w:color w:val="auto"/>
                      <w:sz w:val="21"/>
                      <w:szCs w:val="21"/>
                      <w:highlight w:val="none"/>
                      <w:lang w:eastAsia="zh-CN"/>
                    </w:rPr>
                    <w:t>）</w:t>
                  </w:r>
                </w:p>
              </w:tc>
              <w:tc>
                <w:tcPr>
                  <w:tcW w:w="1335" w:type="pct"/>
                  <w:noWrap w:val="0"/>
                  <w:vAlign w:val="center"/>
                </w:tcPr>
                <w:p w14:paraId="508E2837">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1.2倍总量指标总量（t/a）</w:t>
                  </w:r>
                </w:p>
              </w:tc>
            </w:tr>
            <w:tr w14:paraId="1A80E4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552" w:type="pct"/>
                  <w:vMerge w:val="restart"/>
                  <w:noWrap w:val="0"/>
                  <w:vAlign w:val="center"/>
                </w:tcPr>
                <w:p w14:paraId="14AA81A2">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VOCs</w:t>
                  </w:r>
                  <w:r>
                    <w:rPr>
                      <w:rFonts w:hint="eastAsia" w:ascii="Times New Roman" w:hAnsi="Times New Roman" w:eastAsia="宋体" w:cs="Times New Roman"/>
                      <w:b w:val="0"/>
                      <w:bCs w:val="0"/>
                      <w:color w:val="000000"/>
                      <w:sz w:val="21"/>
                      <w:szCs w:val="21"/>
                      <w:highlight w:val="none"/>
                      <w:lang w:val="en-US" w:eastAsia="zh-CN"/>
                    </w:rPr>
                    <w:t>核定量</w:t>
                  </w:r>
                </w:p>
              </w:tc>
              <w:tc>
                <w:tcPr>
                  <w:tcW w:w="573" w:type="pct"/>
                  <w:noWrap w:val="0"/>
                  <w:vAlign w:val="center"/>
                </w:tcPr>
                <w:p w14:paraId="0B98AB73">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有组织</w:t>
                  </w:r>
                </w:p>
              </w:tc>
              <w:tc>
                <w:tcPr>
                  <w:tcW w:w="556" w:type="pct"/>
                  <w:noWrap w:val="0"/>
                  <w:vAlign w:val="center"/>
                </w:tcPr>
                <w:p w14:paraId="5A7F7FBC">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386</w:t>
                  </w:r>
                </w:p>
              </w:tc>
              <w:tc>
                <w:tcPr>
                  <w:tcW w:w="582" w:type="pct"/>
                  <w:noWrap w:val="0"/>
                  <w:vAlign w:val="center"/>
                </w:tcPr>
                <w:p w14:paraId="3C6BD3F2">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193</w:t>
                  </w:r>
                </w:p>
              </w:tc>
              <w:tc>
                <w:tcPr>
                  <w:tcW w:w="555" w:type="pct"/>
                  <w:noWrap w:val="0"/>
                  <w:vAlign w:val="center"/>
                </w:tcPr>
                <w:p w14:paraId="511B82CE">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w:t>
                  </w:r>
                  <w:r>
                    <w:rPr>
                      <w:rFonts w:hint="eastAsia" w:cs="Times New Roman"/>
                      <w:b w:val="0"/>
                      <w:bCs w:val="0"/>
                      <w:color w:val="auto"/>
                      <w:sz w:val="21"/>
                      <w:szCs w:val="21"/>
                      <w:highlight w:val="none"/>
                      <w:lang w:val="en-US" w:eastAsia="zh-CN"/>
                    </w:rPr>
                    <w:t>93</w:t>
                  </w:r>
                </w:p>
              </w:tc>
              <w:tc>
                <w:tcPr>
                  <w:tcW w:w="843" w:type="pct"/>
                  <w:vMerge w:val="restart"/>
                  <w:noWrap w:val="0"/>
                  <w:vAlign w:val="center"/>
                </w:tcPr>
                <w:p w14:paraId="69162D2E">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2905</w:t>
                  </w:r>
                </w:p>
              </w:tc>
              <w:tc>
                <w:tcPr>
                  <w:tcW w:w="1335" w:type="pct"/>
                  <w:vMerge w:val="restart"/>
                  <w:noWrap w:val="0"/>
                  <w:vAlign w:val="center"/>
                </w:tcPr>
                <w:p w14:paraId="35A50C0E">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3486</w:t>
                  </w:r>
                </w:p>
              </w:tc>
            </w:tr>
            <w:tr w14:paraId="24ED26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pct"/>
                  <w:vMerge w:val="continue"/>
                  <w:noWrap w:val="0"/>
                  <w:vAlign w:val="center"/>
                </w:tcPr>
                <w:p w14:paraId="67729F6E">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p>
              </w:tc>
              <w:tc>
                <w:tcPr>
                  <w:tcW w:w="573" w:type="pct"/>
                  <w:noWrap w:val="0"/>
                  <w:vAlign w:val="center"/>
                </w:tcPr>
                <w:p w14:paraId="3EAF173A">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无组织</w:t>
                  </w:r>
                </w:p>
              </w:tc>
              <w:tc>
                <w:tcPr>
                  <w:tcW w:w="556" w:type="pct"/>
                  <w:noWrap w:val="0"/>
                  <w:vAlign w:val="center"/>
                </w:tcPr>
                <w:p w14:paraId="46FDF423">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w:t>
                  </w:r>
                  <w:r>
                    <w:rPr>
                      <w:rFonts w:hint="eastAsia" w:cs="Times New Roman"/>
                      <w:b w:val="0"/>
                      <w:bCs w:val="0"/>
                      <w:color w:val="auto"/>
                      <w:sz w:val="21"/>
                      <w:szCs w:val="21"/>
                      <w:highlight w:val="none"/>
                      <w:lang w:val="en-US" w:eastAsia="zh-CN"/>
                    </w:rPr>
                    <w:t>975</w:t>
                  </w:r>
                </w:p>
              </w:tc>
              <w:tc>
                <w:tcPr>
                  <w:tcW w:w="582" w:type="pct"/>
                  <w:noWrap w:val="0"/>
                  <w:vAlign w:val="center"/>
                </w:tcPr>
                <w:p w14:paraId="5217BD69">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555" w:type="pct"/>
                  <w:noWrap w:val="0"/>
                  <w:vAlign w:val="center"/>
                </w:tcPr>
                <w:p w14:paraId="31EDD1D1">
                  <w:pPr>
                    <w:spacing w:line="3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w:t>
                  </w:r>
                  <w:r>
                    <w:rPr>
                      <w:rFonts w:hint="eastAsia" w:cs="Times New Roman"/>
                      <w:b w:val="0"/>
                      <w:bCs w:val="0"/>
                      <w:color w:val="auto"/>
                      <w:sz w:val="21"/>
                      <w:szCs w:val="21"/>
                      <w:highlight w:val="none"/>
                      <w:lang w:val="en-US" w:eastAsia="zh-CN"/>
                    </w:rPr>
                    <w:t>975</w:t>
                  </w:r>
                </w:p>
              </w:tc>
              <w:tc>
                <w:tcPr>
                  <w:tcW w:w="843" w:type="pct"/>
                  <w:vMerge w:val="continue"/>
                  <w:noWrap w:val="0"/>
                  <w:vAlign w:val="center"/>
                </w:tcPr>
                <w:p w14:paraId="491036CB">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p>
              </w:tc>
              <w:tc>
                <w:tcPr>
                  <w:tcW w:w="1335" w:type="pct"/>
                  <w:vMerge w:val="continue"/>
                  <w:noWrap w:val="0"/>
                  <w:vAlign w:val="center"/>
                </w:tcPr>
                <w:p w14:paraId="591451DF">
                  <w:pPr>
                    <w:spacing w:line="34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p>
              </w:tc>
            </w:tr>
          </w:tbl>
          <w:p w14:paraId="1218EA12">
            <w:pPr>
              <w:pStyle w:val="60"/>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center"/>
              <w:rPr>
                <w:rFonts w:hint="default" w:ascii="Times New Roman" w:hAnsi="Times New Roman" w:eastAsia="宋体" w:cs="Times New Roman"/>
                <w:color w:val="000000"/>
                <w:kern w:val="2"/>
                <w:sz w:val="24"/>
                <w:szCs w:val="24"/>
                <w:highlight w:val="none"/>
              </w:rPr>
            </w:pPr>
            <w:r>
              <w:rPr>
                <w:rFonts w:hint="default" w:ascii="Times New Roman" w:hAnsi="Times New Roman" w:eastAsia="宋体" w:cs="Times New Roman"/>
                <w:color w:val="000000"/>
                <w:kern w:val="2"/>
                <w:sz w:val="24"/>
                <w:szCs w:val="24"/>
                <w:highlight w:val="none"/>
              </w:rPr>
              <w:t>项目挥发性有机物</w:t>
            </w:r>
            <w:r>
              <w:rPr>
                <w:rFonts w:hint="default" w:ascii="Times New Roman" w:hAnsi="Times New Roman" w:eastAsia="宋体" w:cs="Times New Roman"/>
                <w:color w:val="000000"/>
                <w:kern w:val="2"/>
                <w:sz w:val="24"/>
                <w:szCs w:val="24"/>
                <w:highlight w:val="none"/>
                <w:lang w:eastAsia="zh-CN"/>
              </w:rPr>
              <w:t>（以非甲烷总烃计）</w:t>
            </w:r>
            <w:r>
              <w:rPr>
                <w:rFonts w:hint="eastAsia" w:ascii="Times New Roman" w:hAnsi="Times New Roman" w:eastAsia="宋体" w:cs="Times New Roman"/>
                <w:color w:val="000000"/>
                <w:kern w:val="2"/>
                <w:sz w:val="24"/>
                <w:szCs w:val="24"/>
                <w:highlight w:val="none"/>
                <w:lang w:eastAsia="zh-CN"/>
              </w:rPr>
              <w:t>总量控制指标</w:t>
            </w:r>
            <w:r>
              <w:rPr>
                <w:rFonts w:hint="default" w:ascii="Times New Roman" w:hAnsi="Times New Roman" w:eastAsia="宋体" w:cs="Times New Roman"/>
                <w:color w:val="000000"/>
                <w:kern w:val="2"/>
                <w:sz w:val="24"/>
                <w:szCs w:val="24"/>
                <w:highlight w:val="none"/>
              </w:rPr>
              <w:t>为</w:t>
            </w:r>
            <w:r>
              <w:rPr>
                <w:rFonts w:hint="eastAsia" w:cs="Times New Roman"/>
                <w:snapToGrid/>
                <w:color w:val="000000"/>
                <w:kern w:val="2"/>
                <w:sz w:val="24"/>
                <w:szCs w:val="24"/>
                <w:highlight w:val="none"/>
                <w:shd w:val="clear" w:color="auto" w:fill="auto"/>
                <w:lang w:val="en-US" w:eastAsia="zh-CN"/>
              </w:rPr>
              <w:t>0.2905</w:t>
            </w:r>
            <w:r>
              <w:rPr>
                <w:rFonts w:hint="default" w:ascii="Times New Roman" w:hAnsi="Times New Roman" w:eastAsia="宋体" w:cs="Times New Roman"/>
                <w:color w:val="000000"/>
                <w:kern w:val="2"/>
                <w:sz w:val="24"/>
                <w:szCs w:val="24"/>
                <w:highlight w:val="none"/>
              </w:rPr>
              <w:t>t/a，</w:t>
            </w:r>
            <w:r>
              <w:rPr>
                <w:rFonts w:hint="eastAsia" w:ascii="Times New Roman" w:hAnsi="Times New Roman" w:eastAsia="宋体" w:cs="Times New Roman"/>
                <w:color w:val="000000"/>
                <w:kern w:val="2"/>
                <w:sz w:val="24"/>
                <w:szCs w:val="24"/>
                <w:highlight w:val="none"/>
                <w:lang w:eastAsia="zh-CN"/>
              </w:rPr>
              <w:t>区域调剂量为</w:t>
            </w:r>
            <w:r>
              <w:rPr>
                <w:rFonts w:hint="eastAsia" w:ascii="Times New Roman" w:hAnsi="Times New Roman" w:eastAsia="宋体" w:cs="Times New Roman"/>
                <w:color w:val="000000"/>
                <w:kern w:val="2"/>
                <w:sz w:val="24"/>
                <w:szCs w:val="24"/>
                <w:highlight w:val="none"/>
                <w:lang w:val="en-US" w:eastAsia="zh-CN"/>
              </w:rPr>
              <w:t>0.</w:t>
            </w:r>
            <w:r>
              <w:rPr>
                <w:rFonts w:hint="eastAsia" w:cs="Times New Roman"/>
                <w:color w:val="000000"/>
                <w:kern w:val="2"/>
                <w:sz w:val="24"/>
                <w:szCs w:val="24"/>
                <w:highlight w:val="none"/>
                <w:lang w:val="en-US" w:eastAsia="zh-CN"/>
              </w:rPr>
              <w:t>3486</w:t>
            </w:r>
            <w:r>
              <w:rPr>
                <w:rFonts w:hint="default" w:ascii="Times New Roman" w:hAnsi="Times New Roman" w:eastAsia="宋体" w:cs="Times New Roman"/>
                <w:color w:val="000000"/>
                <w:kern w:val="2"/>
                <w:sz w:val="24"/>
                <w:szCs w:val="24"/>
                <w:highlight w:val="none"/>
              </w:rPr>
              <w:t>t/a</w:t>
            </w:r>
            <w:r>
              <w:rPr>
                <w:rFonts w:hint="eastAsia" w:ascii="Times New Roman" w:hAnsi="Times New Roman" w:eastAsia="宋体" w:cs="Times New Roman"/>
                <w:color w:val="000000"/>
                <w:kern w:val="2"/>
                <w:sz w:val="24"/>
                <w:szCs w:val="24"/>
                <w:highlight w:val="none"/>
                <w:lang w:eastAsia="zh-CN"/>
              </w:rPr>
              <w:t>。企业应按照生态环境主管部门相关规范落实挥发性有机物（</w:t>
            </w:r>
            <w:r>
              <w:rPr>
                <w:rFonts w:hint="eastAsia" w:ascii="Times New Roman" w:hAnsi="Times New Roman" w:eastAsia="宋体" w:cs="Times New Roman"/>
                <w:color w:val="000000"/>
                <w:kern w:val="2"/>
                <w:sz w:val="24"/>
                <w:szCs w:val="24"/>
                <w:highlight w:val="none"/>
                <w:lang w:val="en-US" w:eastAsia="zh-CN"/>
              </w:rPr>
              <w:t>VOCs</w:t>
            </w:r>
            <w:r>
              <w:rPr>
                <w:rFonts w:hint="eastAsia" w:ascii="Times New Roman" w:hAnsi="Times New Roman" w:eastAsia="宋体" w:cs="Times New Roman"/>
                <w:color w:val="000000"/>
                <w:kern w:val="2"/>
                <w:sz w:val="24"/>
                <w:szCs w:val="24"/>
                <w:highlight w:val="none"/>
                <w:lang w:eastAsia="zh-CN"/>
              </w:rPr>
              <w:t>）倍量替代或通过排污权交易获得。企业承诺依法取得挥发性有机物总量控制指标，并依法完成排污许可证登记管理。</w:t>
            </w:r>
          </w:p>
          <w:p w14:paraId="23BA4873">
            <w:pPr>
              <w:spacing w:beforeLines="0" w:line="360" w:lineRule="auto"/>
              <w:ind w:firstLine="480" w:firstLineChars="200"/>
              <w:jc w:val="both"/>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根据工程分析，</w:t>
            </w:r>
            <w:r>
              <w:rPr>
                <w:rFonts w:hint="eastAsia" w:ascii="Times New Roman" w:hAnsi="Times New Roman" w:eastAsia="宋体" w:cs="Times New Roman"/>
                <w:color w:val="000000"/>
                <w:sz w:val="24"/>
                <w:highlight w:val="none"/>
                <w:lang w:eastAsia="zh-CN"/>
              </w:rPr>
              <w:t>项目</w:t>
            </w:r>
            <w:r>
              <w:rPr>
                <w:rFonts w:hint="eastAsia" w:cs="Times New Roman"/>
                <w:color w:val="000000"/>
                <w:sz w:val="24"/>
                <w:highlight w:val="none"/>
                <w:lang w:eastAsia="zh-CN"/>
              </w:rPr>
              <w:t>液化石油气</w:t>
            </w:r>
            <w:r>
              <w:rPr>
                <w:rFonts w:hint="eastAsia" w:ascii="Times New Roman" w:hAnsi="Times New Roman" w:eastAsia="宋体" w:cs="Times New Roman"/>
                <w:color w:val="000000"/>
                <w:sz w:val="24"/>
                <w:highlight w:val="none"/>
                <w:lang w:eastAsia="zh-CN"/>
              </w:rPr>
              <w:t>废气中的</w:t>
            </w:r>
            <w:r>
              <w:rPr>
                <w:rFonts w:hint="eastAsia" w:ascii="Times New Roman" w:hAnsi="Times New Roman" w:eastAsia="宋体" w:cs="Times New Roman"/>
                <w:color w:val="000000"/>
                <w:sz w:val="24"/>
                <w:highlight w:val="none"/>
                <w:lang w:val="en-US" w:eastAsia="zh-CN"/>
              </w:rPr>
              <w:t>SO</w:t>
            </w:r>
            <w:r>
              <w:rPr>
                <w:rFonts w:hint="eastAsia" w:ascii="Times New Roman" w:hAnsi="Times New Roman" w:eastAsia="宋体" w:cs="Times New Roman"/>
                <w:color w:val="000000"/>
                <w:sz w:val="24"/>
                <w:highlight w:val="none"/>
                <w:vertAlign w:val="subscript"/>
                <w:lang w:val="en-US" w:eastAsia="zh-CN"/>
              </w:rPr>
              <w:t>2</w:t>
            </w:r>
            <w:r>
              <w:rPr>
                <w:rFonts w:hint="eastAsia" w:ascii="Times New Roman" w:hAnsi="Times New Roman" w:eastAsia="宋体" w:cs="Times New Roman"/>
                <w:color w:val="000000"/>
                <w:sz w:val="24"/>
                <w:highlight w:val="none"/>
                <w:vertAlign w:val="baseline"/>
                <w:lang w:val="en-US" w:eastAsia="zh-CN"/>
              </w:rPr>
              <w:t>和NO</w:t>
            </w:r>
            <w:r>
              <w:rPr>
                <w:rFonts w:hint="eastAsia" w:ascii="Times New Roman" w:hAnsi="Times New Roman" w:eastAsia="宋体" w:cs="Times New Roman"/>
                <w:color w:val="000000"/>
                <w:sz w:val="24"/>
                <w:highlight w:val="none"/>
                <w:vertAlign w:val="subscript"/>
                <w:lang w:val="en-US" w:eastAsia="zh-CN"/>
              </w:rPr>
              <w:t>X</w:t>
            </w:r>
            <w:r>
              <w:rPr>
                <w:rFonts w:hint="eastAsia" w:ascii="Times New Roman" w:hAnsi="Times New Roman" w:eastAsia="宋体" w:cs="Times New Roman"/>
                <w:color w:val="000000"/>
                <w:sz w:val="24"/>
                <w:highlight w:val="none"/>
                <w:vertAlign w:val="baseline"/>
                <w:lang w:val="en-US" w:eastAsia="zh-CN"/>
              </w:rPr>
              <w:t>属于现阶段国家主要控制的大气污染物，故需要交易SO</w:t>
            </w:r>
            <w:r>
              <w:rPr>
                <w:rFonts w:hint="eastAsia" w:ascii="Times New Roman" w:hAnsi="Times New Roman" w:eastAsia="宋体" w:cs="Times New Roman"/>
                <w:color w:val="000000"/>
                <w:sz w:val="24"/>
                <w:highlight w:val="none"/>
                <w:vertAlign w:val="subscript"/>
                <w:lang w:val="en-US" w:eastAsia="zh-CN"/>
              </w:rPr>
              <w:t>2</w:t>
            </w:r>
            <w:r>
              <w:rPr>
                <w:rFonts w:hint="eastAsia" w:ascii="Times New Roman" w:hAnsi="Times New Roman" w:eastAsia="宋体" w:cs="Times New Roman"/>
                <w:color w:val="000000"/>
                <w:sz w:val="24"/>
                <w:highlight w:val="none"/>
                <w:vertAlign w:val="baseline"/>
                <w:lang w:val="en-US" w:eastAsia="zh-CN"/>
              </w:rPr>
              <w:t>和NO</w:t>
            </w:r>
            <w:r>
              <w:rPr>
                <w:rFonts w:hint="eastAsia" w:ascii="Times New Roman" w:hAnsi="Times New Roman" w:eastAsia="宋体" w:cs="Times New Roman"/>
                <w:color w:val="000000"/>
                <w:sz w:val="24"/>
                <w:highlight w:val="none"/>
                <w:vertAlign w:val="subscript"/>
                <w:lang w:val="en-US" w:eastAsia="zh-CN"/>
              </w:rPr>
              <w:t>X</w:t>
            </w:r>
            <w:r>
              <w:rPr>
                <w:rFonts w:hint="eastAsia" w:ascii="Times New Roman" w:hAnsi="Times New Roman" w:eastAsia="宋体" w:cs="Times New Roman"/>
                <w:color w:val="000000"/>
                <w:sz w:val="24"/>
                <w:highlight w:val="none"/>
                <w:vertAlign w:val="baseline"/>
                <w:lang w:val="en-US" w:eastAsia="zh-CN"/>
              </w:rPr>
              <w:t>的排放总量，本项目污染物总量控制标准见下表。</w:t>
            </w:r>
          </w:p>
          <w:p w14:paraId="133FC1EA">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b/>
                <w:bCs/>
                <w:color w:val="auto"/>
                <w:highlight w:val="none"/>
                <w:lang w:val="en-US" w:eastAsia="zh-CN"/>
              </w:rPr>
            </w:pPr>
            <w:r>
              <w:rPr>
                <w:rFonts w:hint="eastAsia" w:ascii="Times New Roman" w:hAnsi="Times New Roman" w:eastAsia="宋体" w:cs="Times New Roman"/>
                <w:b/>
                <w:bCs/>
                <w:color w:val="000000"/>
                <w:sz w:val="24"/>
                <w:highlight w:val="none"/>
                <w:lang w:eastAsia="zh-CN"/>
              </w:rPr>
              <w:t>表</w:t>
            </w:r>
            <w:r>
              <w:rPr>
                <w:rFonts w:hint="eastAsia" w:ascii="Times New Roman" w:hAnsi="Times New Roman" w:eastAsia="宋体" w:cs="Times New Roman"/>
                <w:b/>
                <w:bCs/>
                <w:color w:val="000000"/>
                <w:sz w:val="24"/>
                <w:highlight w:val="none"/>
                <w:lang w:val="en-US" w:eastAsia="zh-CN"/>
              </w:rPr>
              <w:t>3-</w:t>
            </w:r>
            <w:r>
              <w:rPr>
                <w:rFonts w:hint="eastAsia" w:cs="Times New Roman"/>
                <w:b/>
                <w:bCs/>
                <w:color w:val="000000"/>
                <w:sz w:val="24"/>
                <w:highlight w:val="none"/>
                <w:lang w:val="en-US" w:eastAsia="zh-CN"/>
              </w:rPr>
              <w:t>14</w:t>
            </w:r>
            <w:r>
              <w:rPr>
                <w:rFonts w:hint="eastAsia" w:cs="Times New Roman"/>
                <w:b/>
                <w:bCs/>
                <w:color w:val="auto"/>
                <w:sz w:val="24"/>
                <w:highlight w:val="none"/>
                <w:lang w:val="en-US" w:eastAsia="zh-CN"/>
              </w:rPr>
              <w:t>液化石油气</w:t>
            </w:r>
            <w:r>
              <w:rPr>
                <w:rFonts w:hint="eastAsia" w:ascii="Times New Roman" w:hAnsi="Times New Roman" w:eastAsia="宋体" w:cs="Times New Roman"/>
                <w:b/>
                <w:bCs/>
                <w:color w:val="auto"/>
                <w:sz w:val="24"/>
                <w:highlight w:val="none"/>
                <w:lang w:val="en-US" w:eastAsia="zh-CN"/>
              </w:rPr>
              <w:t>废气污染物总量控制指标一览表</w:t>
            </w:r>
          </w:p>
          <w:tbl>
            <w:tblPr>
              <w:tblStyle w:val="26"/>
              <w:tblW w:w="784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380"/>
              <w:gridCol w:w="1155"/>
              <w:gridCol w:w="1140"/>
              <w:gridCol w:w="1095"/>
              <w:gridCol w:w="990"/>
              <w:gridCol w:w="1093"/>
            </w:tblGrid>
            <w:tr w14:paraId="5982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4" w:type="dxa"/>
                  <w:tcBorders>
                    <w:top w:val="single" w:color="auto" w:sz="12" w:space="0"/>
                    <w:left w:val="nil"/>
                  </w:tcBorders>
                  <w:noWrap w:val="0"/>
                  <w:vAlign w:val="center"/>
                </w:tcPr>
                <w:p w14:paraId="7C71662A">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宋体"/>
                      <w:color w:val="auto"/>
                      <w:highlight w:val="none"/>
                      <w:vertAlign w:val="baseline"/>
                      <w:lang w:eastAsia="zh-CN"/>
                    </w:rPr>
                  </w:pPr>
                  <w:r>
                    <w:rPr>
                      <w:rFonts w:hint="eastAsia"/>
                      <w:color w:val="auto"/>
                      <w:highlight w:val="none"/>
                      <w:vertAlign w:val="baseline"/>
                      <w:lang w:eastAsia="zh-CN"/>
                    </w:rPr>
                    <w:t>污染物指标</w:t>
                  </w:r>
                </w:p>
              </w:tc>
              <w:tc>
                <w:tcPr>
                  <w:tcW w:w="1380" w:type="dxa"/>
                  <w:tcBorders>
                    <w:top w:val="single" w:color="auto" w:sz="12" w:space="0"/>
                  </w:tcBorders>
                  <w:noWrap w:val="0"/>
                  <w:vAlign w:val="center"/>
                </w:tcPr>
                <w:p w14:paraId="51E77533">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废气排放量</w:t>
                  </w:r>
                </w:p>
              </w:tc>
              <w:tc>
                <w:tcPr>
                  <w:tcW w:w="1155" w:type="dxa"/>
                  <w:tcBorders>
                    <w:top w:val="single" w:color="auto" w:sz="12" w:space="0"/>
                  </w:tcBorders>
                  <w:noWrap w:val="0"/>
                  <w:vAlign w:val="center"/>
                </w:tcPr>
                <w:p w14:paraId="5AB4F828">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color w:val="auto"/>
                      <w:highlight w:val="none"/>
                      <w:vertAlign w:val="baseline"/>
                      <w:lang w:eastAsia="zh-CN"/>
                    </w:rPr>
                  </w:pPr>
                  <w:r>
                    <w:rPr>
                      <w:rFonts w:hint="eastAsia"/>
                      <w:color w:val="auto"/>
                      <w:highlight w:val="none"/>
                      <w:vertAlign w:val="baseline"/>
                      <w:lang w:eastAsia="zh-CN"/>
                    </w:rPr>
                    <w:t>排放量</w:t>
                  </w:r>
                </w:p>
                <w:p w14:paraId="77F5BA10">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highlight w:val="none"/>
                      <w:vertAlign w:val="baseline"/>
                      <w:lang w:val="en-US" w:eastAsia="zh-CN"/>
                    </w:rPr>
                  </w:pPr>
                  <w:r>
                    <w:rPr>
                      <w:rFonts w:hint="eastAsia"/>
                      <w:color w:val="auto"/>
                      <w:highlight w:val="none"/>
                      <w:vertAlign w:val="baseline"/>
                      <w:lang w:eastAsia="zh-CN"/>
                    </w:rPr>
                    <w:t>（</w:t>
                  </w:r>
                  <w:r>
                    <w:rPr>
                      <w:rFonts w:hint="eastAsia"/>
                      <w:color w:val="auto"/>
                      <w:highlight w:val="none"/>
                      <w:vertAlign w:val="baseline"/>
                      <w:lang w:val="en-US" w:eastAsia="zh-CN"/>
                    </w:rPr>
                    <w:t>t/a）</w:t>
                  </w:r>
                </w:p>
              </w:tc>
              <w:tc>
                <w:tcPr>
                  <w:tcW w:w="1140" w:type="dxa"/>
                  <w:tcBorders>
                    <w:top w:val="single" w:color="auto" w:sz="12" w:space="0"/>
                  </w:tcBorders>
                  <w:noWrap w:val="0"/>
                  <w:vAlign w:val="center"/>
                </w:tcPr>
                <w:p w14:paraId="4CEBF1D1">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color w:val="auto"/>
                      <w:highlight w:val="none"/>
                      <w:vertAlign w:val="baseline"/>
                      <w:lang w:eastAsia="zh-CN"/>
                    </w:rPr>
                  </w:pPr>
                  <w:r>
                    <w:rPr>
                      <w:rFonts w:hint="eastAsia"/>
                      <w:color w:val="auto"/>
                      <w:highlight w:val="none"/>
                      <w:vertAlign w:val="baseline"/>
                      <w:lang w:eastAsia="zh-CN"/>
                    </w:rPr>
                    <w:t>排放浓度</w:t>
                  </w:r>
                </w:p>
                <w:p w14:paraId="78B35B26">
                  <w:pPr>
                    <w:rPr>
                      <w:rFonts w:hint="default"/>
                      <w:color w:val="auto"/>
                      <w:highlight w:val="none"/>
                      <w:lang w:val="en-US" w:eastAsia="zh-CN"/>
                    </w:rPr>
                  </w:pPr>
                  <w:r>
                    <w:rPr>
                      <w:rFonts w:hint="eastAsia"/>
                      <w:color w:val="auto"/>
                      <w:highlight w:val="none"/>
                      <w:vertAlign w:val="baseline"/>
                      <w:lang w:eastAsia="zh-CN"/>
                    </w:rPr>
                    <w:t>（</w:t>
                  </w:r>
                  <w:r>
                    <w:rPr>
                      <w:rFonts w:hint="eastAsia"/>
                      <w:color w:val="auto"/>
                      <w:highlight w:val="none"/>
                      <w:vertAlign w:val="baseline"/>
                      <w:lang w:val="en-US" w:eastAsia="zh-CN"/>
                    </w:rPr>
                    <w:t>mg/m</w:t>
                  </w:r>
                  <w:r>
                    <w:rPr>
                      <w:rFonts w:hint="eastAsia"/>
                      <w:color w:val="auto"/>
                      <w:highlight w:val="none"/>
                      <w:vertAlign w:val="superscript"/>
                      <w:lang w:val="en-US" w:eastAsia="zh-CN"/>
                    </w:rPr>
                    <w:t>3</w:t>
                  </w:r>
                  <w:r>
                    <w:rPr>
                      <w:rFonts w:hint="eastAsia"/>
                      <w:color w:val="auto"/>
                      <w:highlight w:val="none"/>
                      <w:vertAlign w:val="baseline"/>
                      <w:lang w:val="en-US" w:eastAsia="zh-CN"/>
                    </w:rPr>
                    <w:t>）</w:t>
                  </w:r>
                </w:p>
              </w:tc>
              <w:tc>
                <w:tcPr>
                  <w:tcW w:w="1095" w:type="dxa"/>
                  <w:tcBorders>
                    <w:top w:val="single" w:color="auto" w:sz="12" w:space="0"/>
                  </w:tcBorders>
                  <w:noWrap w:val="0"/>
                  <w:vAlign w:val="center"/>
                </w:tcPr>
                <w:p w14:paraId="46D29515">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color w:val="auto"/>
                      <w:highlight w:val="none"/>
                      <w:lang w:val="en-US" w:eastAsia="zh-CN"/>
                    </w:rPr>
                  </w:pPr>
                  <w:r>
                    <w:rPr>
                      <w:rFonts w:hint="eastAsia"/>
                      <w:color w:val="auto"/>
                      <w:highlight w:val="none"/>
                      <w:vertAlign w:val="baseline"/>
                      <w:lang w:eastAsia="zh-CN"/>
                    </w:rPr>
                    <w:t>执行标准（</w:t>
                  </w:r>
                  <w:r>
                    <w:rPr>
                      <w:rFonts w:hint="eastAsia"/>
                      <w:color w:val="auto"/>
                      <w:highlight w:val="none"/>
                      <w:vertAlign w:val="baseline"/>
                      <w:lang w:val="en-US" w:eastAsia="zh-CN"/>
                    </w:rPr>
                    <w:t>mg/m</w:t>
                  </w:r>
                  <w:r>
                    <w:rPr>
                      <w:rFonts w:hint="eastAsia"/>
                      <w:color w:val="auto"/>
                      <w:highlight w:val="none"/>
                      <w:vertAlign w:val="superscript"/>
                      <w:lang w:val="en-US" w:eastAsia="zh-CN"/>
                    </w:rPr>
                    <w:t>3</w:t>
                  </w:r>
                  <w:r>
                    <w:rPr>
                      <w:rFonts w:hint="eastAsia"/>
                      <w:color w:val="auto"/>
                      <w:highlight w:val="none"/>
                      <w:vertAlign w:val="baseline"/>
                      <w:lang w:val="en-US" w:eastAsia="zh-CN"/>
                    </w:rPr>
                    <w:t>）</w:t>
                  </w:r>
                </w:p>
              </w:tc>
              <w:tc>
                <w:tcPr>
                  <w:tcW w:w="990" w:type="dxa"/>
                  <w:tcBorders>
                    <w:top w:val="single" w:color="auto" w:sz="12" w:space="0"/>
                    <w:right w:val="nil"/>
                  </w:tcBorders>
                  <w:noWrap w:val="0"/>
                  <w:vAlign w:val="center"/>
                </w:tcPr>
                <w:p w14:paraId="4FA0D7FD">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color w:val="auto"/>
                      <w:highlight w:val="none"/>
                      <w:vertAlign w:val="baseline"/>
                      <w:lang w:eastAsia="zh-CN"/>
                    </w:rPr>
                  </w:pPr>
                  <w:r>
                    <w:rPr>
                      <w:rFonts w:hint="eastAsia"/>
                      <w:color w:val="auto"/>
                      <w:highlight w:val="none"/>
                      <w:vertAlign w:val="baseline"/>
                      <w:lang w:eastAsia="zh-CN"/>
                    </w:rPr>
                    <w:t>允许排放量</w:t>
                  </w:r>
                </w:p>
                <w:p w14:paraId="712C2B5A">
                  <w:pPr>
                    <w:jc w:val="center"/>
                    <w:rPr>
                      <w:rFonts w:hint="default"/>
                      <w:color w:val="auto"/>
                      <w:highlight w:val="none"/>
                      <w:lang w:val="en-US" w:eastAsia="zh-CN"/>
                    </w:rPr>
                  </w:pPr>
                  <w:r>
                    <w:rPr>
                      <w:rFonts w:hint="eastAsia"/>
                      <w:color w:val="auto"/>
                      <w:highlight w:val="none"/>
                      <w:vertAlign w:val="baseline"/>
                      <w:lang w:eastAsia="zh-CN"/>
                    </w:rPr>
                    <w:t>（</w:t>
                  </w:r>
                  <w:r>
                    <w:rPr>
                      <w:rFonts w:hint="eastAsia"/>
                      <w:color w:val="auto"/>
                      <w:highlight w:val="none"/>
                      <w:vertAlign w:val="baseline"/>
                      <w:lang w:val="en-US" w:eastAsia="zh-CN"/>
                    </w:rPr>
                    <w:t>t/a）</w:t>
                  </w:r>
                </w:p>
              </w:tc>
              <w:tc>
                <w:tcPr>
                  <w:tcW w:w="1093" w:type="dxa"/>
                  <w:tcBorders>
                    <w:top w:val="single" w:color="auto" w:sz="12" w:space="0"/>
                    <w:right w:val="nil"/>
                  </w:tcBorders>
                  <w:noWrap w:val="0"/>
                  <w:vAlign w:val="center"/>
                </w:tcPr>
                <w:p w14:paraId="0771367A">
                  <w:pPr>
                    <w:jc w:val="center"/>
                    <w:rPr>
                      <w:rFonts w:hint="default"/>
                      <w:color w:val="auto"/>
                      <w:highlight w:val="none"/>
                      <w:vertAlign w:val="baseline"/>
                      <w:lang w:val="en-US" w:eastAsia="zh-CN"/>
                    </w:rPr>
                  </w:pPr>
                  <w:r>
                    <w:rPr>
                      <w:rFonts w:hint="eastAsia"/>
                      <w:color w:val="auto"/>
                      <w:highlight w:val="none"/>
                      <w:vertAlign w:val="baseline"/>
                      <w:lang w:val="en-US" w:eastAsia="zh-CN"/>
                    </w:rPr>
                    <w:t>总量控制指标（t/a）</w:t>
                  </w:r>
                </w:p>
              </w:tc>
            </w:tr>
            <w:tr w14:paraId="0EB0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4" w:type="dxa"/>
                  <w:tcBorders>
                    <w:left w:val="nil"/>
                  </w:tcBorders>
                  <w:noWrap w:val="0"/>
                  <w:vAlign w:val="center"/>
                </w:tcPr>
                <w:p w14:paraId="3FEB29D9">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SO</w:t>
                  </w:r>
                  <w:r>
                    <w:rPr>
                      <w:rFonts w:hint="eastAsia"/>
                      <w:color w:val="auto"/>
                      <w:highlight w:val="none"/>
                      <w:vertAlign w:val="subscript"/>
                      <w:lang w:val="en-US" w:eastAsia="zh-CN"/>
                    </w:rPr>
                    <w:t>2</w:t>
                  </w:r>
                </w:p>
              </w:tc>
              <w:tc>
                <w:tcPr>
                  <w:tcW w:w="1380" w:type="dxa"/>
                  <w:vMerge w:val="restart"/>
                  <w:noWrap w:val="0"/>
                  <w:vAlign w:val="center"/>
                </w:tcPr>
                <w:p w14:paraId="101489DD">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color w:val="auto"/>
                      <w:highlight w:val="none"/>
                      <w:vertAlign w:val="baseline"/>
                    </w:rPr>
                  </w:pPr>
                  <w:r>
                    <w:rPr>
                      <w:rFonts w:hint="eastAsia" w:cs="Times New Roman"/>
                      <w:color w:val="auto"/>
                      <w:sz w:val="21"/>
                      <w:szCs w:val="21"/>
                      <w:highlight w:val="none"/>
                      <w:vertAlign w:val="baseline"/>
                      <w:lang w:val="en-US" w:eastAsia="zh-CN"/>
                    </w:rPr>
                    <w:t>46.33</w:t>
                  </w:r>
                  <w:r>
                    <w:rPr>
                      <w:rFonts w:hint="eastAsia" w:ascii="Times New Roman" w:hAnsi="Times New Roman" w:eastAsia="宋体" w:cs="Times New Roman"/>
                      <w:color w:val="auto"/>
                      <w:sz w:val="21"/>
                      <w:szCs w:val="21"/>
                      <w:highlight w:val="none"/>
                      <w:vertAlign w:val="baseline"/>
                      <w:lang w:val="en-US" w:eastAsia="zh-CN"/>
                    </w:rPr>
                    <w:t>万</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tc>
              <w:tc>
                <w:tcPr>
                  <w:tcW w:w="1155" w:type="dxa"/>
                  <w:noWrap w:val="0"/>
                  <w:vAlign w:val="center"/>
                </w:tcPr>
                <w:p w14:paraId="4DCE9295">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highlight w:val="none"/>
                      <w:vertAlign w:val="baseline"/>
                      <w:lang w:val="en-US" w:eastAsia="zh-CN"/>
                    </w:rPr>
                  </w:pPr>
                  <w:r>
                    <w:rPr>
                      <w:rFonts w:hint="eastAsia" w:cs="Times New Roman"/>
                      <w:color w:val="auto"/>
                      <w:sz w:val="21"/>
                      <w:szCs w:val="21"/>
                      <w:highlight w:val="none"/>
                      <w:vertAlign w:val="baseline"/>
                      <w:lang w:val="en-US" w:eastAsia="zh-CN"/>
                    </w:rPr>
                    <w:t>0.011</w:t>
                  </w:r>
                </w:p>
              </w:tc>
              <w:tc>
                <w:tcPr>
                  <w:tcW w:w="1140" w:type="dxa"/>
                  <w:noWrap w:val="0"/>
                  <w:vAlign w:val="center"/>
                </w:tcPr>
                <w:p w14:paraId="4EF5C2C3">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18.649</w:t>
                  </w:r>
                </w:p>
              </w:tc>
              <w:tc>
                <w:tcPr>
                  <w:tcW w:w="1095" w:type="dxa"/>
                  <w:noWrap w:val="0"/>
                  <w:vAlign w:val="center"/>
                </w:tcPr>
                <w:p w14:paraId="1A4BCF58">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550</w:t>
                  </w:r>
                </w:p>
              </w:tc>
              <w:tc>
                <w:tcPr>
                  <w:tcW w:w="990" w:type="dxa"/>
                  <w:tcBorders>
                    <w:right w:val="nil"/>
                  </w:tcBorders>
                  <w:noWrap w:val="0"/>
                  <w:vAlign w:val="center"/>
                </w:tcPr>
                <w:p w14:paraId="1FA01165">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0.2548</w:t>
                  </w:r>
                </w:p>
              </w:tc>
              <w:tc>
                <w:tcPr>
                  <w:tcW w:w="1093" w:type="dxa"/>
                  <w:tcBorders>
                    <w:right w:val="nil"/>
                  </w:tcBorders>
                  <w:noWrap w:val="0"/>
                  <w:vAlign w:val="center"/>
                </w:tcPr>
                <w:p w14:paraId="4280A663">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0.3822</w:t>
                  </w:r>
                </w:p>
              </w:tc>
            </w:tr>
            <w:tr w14:paraId="26A2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4" w:type="dxa"/>
                  <w:tcBorders>
                    <w:left w:val="nil"/>
                  </w:tcBorders>
                  <w:noWrap w:val="0"/>
                  <w:vAlign w:val="center"/>
                </w:tcPr>
                <w:p w14:paraId="56EB8F9A">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NO</w:t>
                  </w:r>
                  <w:r>
                    <w:rPr>
                      <w:rFonts w:hint="eastAsia"/>
                      <w:color w:val="auto"/>
                      <w:highlight w:val="none"/>
                      <w:vertAlign w:val="subscript"/>
                      <w:lang w:val="en-US" w:eastAsia="zh-CN"/>
                    </w:rPr>
                    <w:t>X</w:t>
                  </w:r>
                </w:p>
              </w:tc>
              <w:tc>
                <w:tcPr>
                  <w:tcW w:w="1380" w:type="dxa"/>
                  <w:vMerge w:val="continue"/>
                  <w:noWrap w:val="0"/>
                  <w:vAlign w:val="center"/>
                </w:tcPr>
                <w:p w14:paraId="5B9EA330">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color w:val="auto"/>
                      <w:highlight w:val="none"/>
                      <w:vertAlign w:val="baseline"/>
                    </w:rPr>
                  </w:pPr>
                </w:p>
              </w:tc>
              <w:tc>
                <w:tcPr>
                  <w:tcW w:w="1155" w:type="dxa"/>
                  <w:noWrap w:val="0"/>
                  <w:vAlign w:val="center"/>
                </w:tcPr>
                <w:p w14:paraId="70DDF034">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highlight w:val="none"/>
                      <w:vertAlign w:val="baseline"/>
                      <w:lang w:val="en-US" w:eastAsia="zh-CN"/>
                    </w:rPr>
                  </w:pPr>
                  <w:r>
                    <w:rPr>
                      <w:rFonts w:hint="eastAsia" w:cs="Times New Roman"/>
                      <w:color w:val="auto"/>
                      <w:sz w:val="21"/>
                      <w:szCs w:val="21"/>
                      <w:highlight w:val="none"/>
                      <w:vertAlign w:val="baseline"/>
                      <w:lang w:val="en-US" w:eastAsia="zh-CN"/>
                    </w:rPr>
                    <w:t>0.0963</w:t>
                  </w:r>
                </w:p>
              </w:tc>
              <w:tc>
                <w:tcPr>
                  <w:tcW w:w="1140" w:type="dxa"/>
                  <w:noWrap w:val="0"/>
                  <w:vAlign w:val="center"/>
                </w:tcPr>
                <w:p w14:paraId="77CE612F">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eastAsia="宋体"/>
                      <w:color w:val="auto"/>
                      <w:highlight w:val="none"/>
                      <w:vertAlign w:val="baseline"/>
                      <w:lang w:val="en-US" w:eastAsia="zh-CN"/>
                    </w:rPr>
                  </w:pPr>
                  <w:r>
                    <w:rPr>
                      <w:rFonts w:hint="eastAsia" w:cs="Times New Roman"/>
                      <w:color w:val="auto"/>
                      <w:sz w:val="21"/>
                      <w:szCs w:val="21"/>
                      <w:highlight w:val="none"/>
                      <w:vertAlign w:val="baseline"/>
                      <w:lang w:val="en-US" w:eastAsia="zh-CN"/>
                    </w:rPr>
                    <w:t>166.291</w:t>
                  </w:r>
                </w:p>
              </w:tc>
              <w:tc>
                <w:tcPr>
                  <w:tcW w:w="1095" w:type="dxa"/>
                  <w:noWrap w:val="0"/>
                  <w:vAlign w:val="center"/>
                </w:tcPr>
                <w:p w14:paraId="1F1AB354">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240</w:t>
                  </w:r>
                </w:p>
              </w:tc>
              <w:tc>
                <w:tcPr>
                  <w:tcW w:w="990" w:type="dxa"/>
                  <w:tcBorders>
                    <w:right w:val="nil"/>
                  </w:tcBorders>
                  <w:noWrap w:val="0"/>
                  <w:vAlign w:val="center"/>
                </w:tcPr>
                <w:p w14:paraId="0A1BBCAA">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0.1112</w:t>
                  </w:r>
                </w:p>
              </w:tc>
              <w:tc>
                <w:tcPr>
                  <w:tcW w:w="1093" w:type="dxa"/>
                  <w:tcBorders>
                    <w:right w:val="nil"/>
                  </w:tcBorders>
                  <w:noWrap w:val="0"/>
                  <w:vAlign w:val="center"/>
                </w:tcPr>
                <w:p w14:paraId="3667A585">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0.1668</w:t>
                  </w:r>
                </w:p>
              </w:tc>
            </w:tr>
            <w:tr w14:paraId="7C64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47" w:type="dxa"/>
                  <w:gridSpan w:val="7"/>
                  <w:tcBorders>
                    <w:left w:val="nil"/>
                    <w:bottom w:val="single" w:color="auto" w:sz="12" w:space="0"/>
                    <w:right w:val="nil"/>
                  </w:tcBorders>
                  <w:noWrap w:val="0"/>
                  <w:vAlign w:val="center"/>
                </w:tcPr>
                <w:p w14:paraId="0C614404">
                  <w:pPr>
                    <w:pStyle w:val="9"/>
                    <w:keepNext w:val="0"/>
                    <w:keepLines w:val="0"/>
                    <w:pageBreakBefore w:val="0"/>
                    <w:widowControl w:val="0"/>
                    <w:kinsoku/>
                    <w:wordWrap/>
                    <w:overflowPunct/>
                    <w:topLinePunct w:val="0"/>
                    <w:autoSpaceDE/>
                    <w:autoSpaceDN/>
                    <w:bidi w:val="0"/>
                    <w:adjustRightInd/>
                    <w:snapToGrid/>
                    <w:ind w:firstLine="0"/>
                    <w:jc w:val="both"/>
                    <w:textAlignment w:val="auto"/>
                    <w:rPr>
                      <w:rFonts w:hint="eastAsia"/>
                      <w:highlight w:val="none"/>
                      <w:vertAlign w:val="baseline"/>
                      <w:lang w:val="en-US" w:eastAsia="zh-CN"/>
                    </w:rPr>
                  </w:pPr>
                  <w:r>
                    <w:rPr>
                      <w:rFonts w:hint="eastAsia"/>
                      <w:highlight w:val="none"/>
                      <w:vertAlign w:val="baseline"/>
                      <w:lang w:val="en-US" w:eastAsia="zh-CN"/>
                    </w:rPr>
                    <w:t>注：项目丝印烘干工艺加热过程采用液化气作为燃料</w:t>
                  </w:r>
                  <w:r>
                    <w:rPr>
                      <w:rFonts w:hint="eastAsia"/>
                      <w:highlight w:val="none"/>
                      <w:vertAlign w:val="baseline"/>
                      <w:lang w:val="en-US" w:eastAsia="zh-CN"/>
                    </w:rPr>
                    <w:t>，燃烧不涉及锅炉、炉窑，故项目技改后燃料废气污染物实际总量控制按GB16297-1996《大气污染物综合排放标准》表2二级标准（二氧化硫浓度≤550mg/m</w:t>
                  </w:r>
                  <w:r>
                    <w:rPr>
                      <w:rFonts w:hint="eastAsia"/>
                      <w:highlight w:val="none"/>
                      <w:vertAlign w:val="superscript"/>
                      <w:lang w:val="en-US" w:eastAsia="zh-CN"/>
                    </w:rPr>
                    <w:t>3</w:t>
                  </w:r>
                  <w:r>
                    <w:rPr>
                      <w:rFonts w:hint="eastAsia"/>
                      <w:highlight w:val="none"/>
                      <w:vertAlign w:val="baseline"/>
                      <w:lang w:val="en-US" w:eastAsia="zh-CN"/>
                    </w:rPr>
                    <w:t>，氨氧化物≤240mg/m</w:t>
                  </w:r>
                  <w:r>
                    <w:rPr>
                      <w:rFonts w:hint="eastAsia"/>
                      <w:highlight w:val="none"/>
                      <w:vertAlign w:val="superscript"/>
                      <w:lang w:val="en-US" w:eastAsia="zh-CN"/>
                    </w:rPr>
                    <w:t>3</w:t>
                  </w:r>
                  <w:r>
                    <w:rPr>
                      <w:rFonts w:hint="eastAsia"/>
                      <w:highlight w:val="none"/>
                      <w:vertAlign w:val="baseline"/>
                      <w:lang w:val="en-US" w:eastAsia="zh-CN"/>
                    </w:rPr>
                    <w:t>）进行折算。</w:t>
                  </w:r>
                </w:p>
                <w:p w14:paraId="62AAB892">
                  <w:pPr>
                    <w:pStyle w:val="9"/>
                    <w:keepNext w:val="0"/>
                    <w:keepLines w:val="0"/>
                    <w:pageBreakBefore w:val="0"/>
                    <w:widowControl w:val="0"/>
                    <w:kinsoku/>
                    <w:wordWrap/>
                    <w:overflowPunct/>
                    <w:topLinePunct w:val="0"/>
                    <w:autoSpaceDE/>
                    <w:autoSpaceDN/>
                    <w:bidi w:val="0"/>
                    <w:adjustRightInd/>
                    <w:snapToGrid/>
                    <w:ind w:firstLine="0"/>
                    <w:jc w:val="both"/>
                    <w:textAlignment w:val="auto"/>
                    <w:rPr>
                      <w:rFonts w:hint="default"/>
                      <w:highlight w:val="none"/>
                      <w:vertAlign w:val="baseline"/>
                      <w:lang w:val="en-US" w:eastAsia="zh-CN"/>
                    </w:rPr>
                  </w:pPr>
                  <w:r>
                    <w:rPr>
                      <w:rFonts w:hint="eastAsia"/>
                      <w:highlight w:val="none"/>
                      <w:vertAlign w:val="baseline"/>
                      <w:lang w:val="en-US" w:eastAsia="zh-CN"/>
                    </w:rPr>
                    <w:t>由于项目在城市建成区新建大气污染型项目，二氧化硫、氮氧化物排放量应实行1.5倍倍量替代，即总量控制指标调剂量应为0.3822t/a、0.1668t/a</w:t>
                  </w:r>
                </w:p>
              </w:tc>
            </w:tr>
          </w:tbl>
          <w:p w14:paraId="06EE1B33">
            <w:pPr>
              <w:pStyle w:val="2"/>
              <w:keepNext w:val="0"/>
              <w:keepLines w:val="0"/>
              <w:pageBreakBefore w:val="0"/>
              <w:widowControl w:val="0"/>
              <w:kinsoku/>
              <w:wordWrap/>
              <w:overflowPunct/>
              <w:topLinePunct w:val="0"/>
              <w:autoSpaceDE/>
              <w:autoSpaceDN/>
              <w:bidi w:val="0"/>
              <w:adjustRightInd/>
              <w:snapToGrid/>
              <w:spacing w:before="157" w:beforeLines="50" w:after="0"/>
              <w:ind w:left="0" w:leftChars="0"/>
              <w:textAlignment w:val="auto"/>
              <w:rPr>
                <w:rFonts w:hint="default" w:eastAsia="宋体"/>
                <w:highlight w:val="none"/>
                <w:vertAlign w:val="baseline"/>
                <w:lang w:val="en-US" w:eastAsia="zh-CN"/>
              </w:rPr>
            </w:pPr>
            <w:r>
              <w:rPr>
                <w:rFonts w:hint="eastAsia"/>
                <w:highlight w:val="none"/>
                <w:lang w:eastAsia="zh-CN"/>
              </w:rPr>
              <w:t>因此，项目液化石油气废气主要污染物总量控制指标为</w:t>
            </w:r>
            <w:r>
              <w:rPr>
                <w:rFonts w:hint="eastAsia" w:ascii="Times New Roman" w:hAnsi="Times New Roman" w:eastAsia="宋体" w:cs="Times New Roman"/>
                <w:color w:val="000000"/>
                <w:sz w:val="24"/>
                <w:highlight w:val="none"/>
                <w:vertAlign w:val="baseline"/>
                <w:lang w:val="en-US" w:eastAsia="zh-CN"/>
              </w:rPr>
              <w:t>SO</w:t>
            </w:r>
            <w:r>
              <w:rPr>
                <w:rFonts w:hint="eastAsia" w:ascii="Times New Roman" w:hAnsi="Times New Roman" w:eastAsia="宋体" w:cs="Times New Roman"/>
                <w:color w:val="000000"/>
                <w:sz w:val="24"/>
                <w:highlight w:val="none"/>
                <w:vertAlign w:val="subscript"/>
                <w:lang w:val="en-US" w:eastAsia="zh-CN"/>
              </w:rPr>
              <w:t>2</w:t>
            </w:r>
            <w:r>
              <w:rPr>
                <w:rFonts w:hint="eastAsia" w:ascii="Times New Roman" w:hAnsi="Times New Roman" w:eastAsia="宋体" w:cs="Times New Roman"/>
                <w:color w:val="000000"/>
                <w:sz w:val="24"/>
                <w:highlight w:val="none"/>
                <w:vertAlign w:val="baseline"/>
                <w:lang w:val="en-US" w:eastAsia="zh-CN"/>
              </w:rPr>
              <w:t>：</w:t>
            </w:r>
            <w:r>
              <w:rPr>
                <w:rFonts w:hint="eastAsia" w:cs="Times New Roman"/>
                <w:color w:val="000000"/>
                <w:sz w:val="24"/>
                <w:highlight w:val="none"/>
                <w:vertAlign w:val="baseline"/>
                <w:lang w:val="en-US" w:eastAsia="zh-CN"/>
              </w:rPr>
              <w:t>0.3822</w:t>
            </w:r>
            <w:r>
              <w:rPr>
                <w:rFonts w:hint="eastAsia" w:ascii="Times New Roman" w:hAnsi="Times New Roman" w:eastAsia="宋体" w:cs="Times New Roman"/>
                <w:color w:val="000000"/>
                <w:sz w:val="24"/>
                <w:highlight w:val="none"/>
                <w:vertAlign w:val="baseline"/>
                <w:lang w:val="en-US" w:eastAsia="zh-CN"/>
              </w:rPr>
              <w:t>t/a，NO</w:t>
            </w:r>
            <w:r>
              <w:rPr>
                <w:rFonts w:hint="eastAsia" w:ascii="Times New Roman" w:hAnsi="Times New Roman" w:eastAsia="宋体" w:cs="Times New Roman"/>
                <w:color w:val="000000"/>
                <w:sz w:val="24"/>
                <w:highlight w:val="none"/>
                <w:vertAlign w:val="subscript"/>
                <w:lang w:val="en-US" w:eastAsia="zh-CN"/>
              </w:rPr>
              <w:t>X</w:t>
            </w:r>
            <w:r>
              <w:rPr>
                <w:rFonts w:hint="eastAsia" w:ascii="Times New Roman" w:hAnsi="Times New Roman" w:eastAsia="宋体" w:cs="Times New Roman"/>
                <w:color w:val="000000"/>
                <w:sz w:val="24"/>
                <w:highlight w:val="none"/>
                <w:vertAlign w:val="baseline"/>
                <w:lang w:val="en-US" w:eastAsia="zh-CN"/>
              </w:rPr>
              <w:t>：</w:t>
            </w:r>
            <w:r>
              <w:rPr>
                <w:rFonts w:hint="eastAsia" w:cs="Times New Roman"/>
                <w:color w:val="000000"/>
                <w:sz w:val="24"/>
                <w:highlight w:val="none"/>
                <w:vertAlign w:val="baseline"/>
                <w:lang w:val="en-US" w:eastAsia="zh-CN"/>
              </w:rPr>
              <w:t>0.1668</w:t>
            </w:r>
            <w:r>
              <w:rPr>
                <w:rFonts w:hint="eastAsia" w:ascii="Times New Roman" w:hAnsi="Times New Roman" w:eastAsia="宋体" w:cs="Times New Roman"/>
                <w:color w:val="000000"/>
                <w:sz w:val="24"/>
                <w:highlight w:val="none"/>
                <w:vertAlign w:val="baseline"/>
                <w:lang w:val="en-US" w:eastAsia="zh-CN"/>
              </w:rPr>
              <w:t>t/a。建设单位需通过排污权交易购买获得这部分新增的总量指标。根据福建省生态环境厅关于印发《进一步优化环评审批服务 助推两大协同发展区高质量发展的意见》的函》（闽环发（2018）26号），建设单位承诺投产前取得上述污染物排放指标（见附件11）。</w:t>
            </w:r>
          </w:p>
          <w:p w14:paraId="50EF4BAC">
            <w:pPr>
              <w:spacing w:beforeLines="0" w:line="360" w:lineRule="auto"/>
              <w:ind w:firstLine="480" w:firstLineChars="200"/>
              <w:jc w:val="both"/>
              <w:rPr>
                <w:rFonts w:hint="default" w:ascii="Times New Roman" w:hAnsi="Times New Roman" w:eastAsia="宋体" w:cs="Times New Roman"/>
                <w:color w:val="000000"/>
                <w:sz w:val="24"/>
                <w:highlight w:val="none"/>
              </w:rPr>
            </w:pPr>
          </w:p>
          <w:p w14:paraId="6BEF43BE">
            <w:pPr>
              <w:adjustRightInd w:val="0"/>
              <w:snapToGrid w:val="0"/>
              <w:jc w:val="center"/>
              <w:rPr>
                <w:rFonts w:hint="eastAsia" w:ascii="Times New Roman" w:hAnsi="Times New Roman" w:eastAsia="宋体" w:cs="Times New Roman"/>
                <w:color w:val="auto"/>
                <w:kern w:val="0"/>
                <w:sz w:val="21"/>
                <w:szCs w:val="21"/>
                <w:highlight w:val="none"/>
                <w:lang w:eastAsia="zh-CN"/>
              </w:rPr>
            </w:pPr>
          </w:p>
        </w:tc>
      </w:tr>
    </w:tbl>
    <w:p w14:paraId="526CEC7C">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default" w:ascii="Times New Roman" w:hAnsi="Times New Roman" w:eastAsia="宋体" w:cs="Times New Roman"/>
          <w:b/>
          <w:bCs w:val="0"/>
          <w:color w:val="000000"/>
          <w:kern w:val="0"/>
          <w:sz w:val="30"/>
          <w:szCs w:val="28"/>
          <w:highlight w:val="none"/>
          <w:lang w:val="en-US" w:eastAsia="zh-CN" w:bidi="ar-SA"/>
        </w:rPr>
      </w:pPr>
      <w:r>
        <w:rPr>
          <w:rFonts w:hint="default" w:ascii="Times New Roman" w:hAnsi="Times New Roman" w:eastAsia="宋体" w:cs="Times New Roman"/>
          <w:snapToGrid w:val="0"/>
          <w:sz w:val="36"/>
          <w:szCs w:val="36"/>
          <w:highlight w:val="none"/>
        </w:rPr>
        <w:br w:type="page"/>
      </w:r>
      <w:r>
        <w:rPr>
          <w:rFonts w:hint="default" w:ascii="Times New Roman" w:hAnsi="Times New Roman" w:eastAsia="宋体" w:cs="Times New Roman"/>
          <w:b/>
          <w:bCs w:val="0"/>
          <w:color w:val="000000"/>
          <w:kern w:val="0"/>
          <w:sz w:val="30"/>
          <w:szCs w:val="28"/>
          <w:highlight w:val="none"/>
          <w:lang w:val="en-US" w:eastAsia="zh-CN" w:bidi="ar-SA"/>
        </w:rPr>
        <w:t>四、主要环境影响和保护措施</w:t>
      </w:r>
    </w:p>
    <w:tbl>
      <w:tblPr>
        <w:tblStyle w:val="25"/>
        <w:tblW w:w="50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5"/>
        <w:gridCol w:w="8041"/>
      </w:tblGrid>
      <w:tr w14:paraId="24BB5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6" w:hRule="atLeast"/>
          <w:jc w:val="center"/>
        </w:trPr>
        <w:tc>
          <w:tcPr>
            <w:tcW w:w="279" w:type="pct"/>
            <w:noWrap w:val="0"/>
            <w:tcMar>
              <w:left w:w="28" w:type="dxa"/>
              <w:right w:w="28" w:type="dxa"/>
            </w:tcMar>
            <w:vAlign w:val="center"/>
          </w:tcPr>
          <w:p w14:paraId="535DB7A9">
            <w:pPr>
              <w:pStyle w:val="23"/>
              <w:widowControl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14:paraId="592B7EF8">
            <w:pPr>
              <w:pStyle w:val="23"/>
              <w:widowControl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14:paraId="24A99B19">
            <w:pPr>
              <w:pStyle w:val="23"/>
              <w:widowControl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14:paraId="4515991A">
            <w:pPr>
              <w:pStyle w:val="23"/>
              <w:widowControl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14:paraId="5989E58A">
            <w:pPr>
              <w:pStyle w:val="23"/>
              <w:widowControl w:val="0"/>
              <w:adjustRightInd w:val="0"/>
              <w:snapToGrid w:val="0"/>
              <w:spacing w:before="0" w:beforeAutospacing="0" w:after="0" w:afterAutospacing="0"/>
              <w:jc w:val="center"/>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color w:val="auto"/>
                <w:kern w:val="2"/>
                <w:sz w:val="24"/>
                <w:szCs w:val="24"/>
                <w:highlight w:val="none"/>
              </w:rPr>
              <w:t>施</w:t>
            </w:r>
          </w:p>
        </w:tc>
        <w:tc>
          <w:tcPr>
            <w:tcW w:w="4720" w:type="pct"/>
            <w:noWrap w:val="0"/>
            <w:vAlign w:val="center"/>
          </w:tcPr>
          <w:p w14:paraId="7D36503A">
            <w:pPr>
              <w:adjustRightInd w:val="0"/>
              <w:snapToGrid w:val="0"/>
              <w:jc w:val="center"/>
              <w:rPr>
                <w:rFonts w:hint="default" w:ascii="Times New Roman" w:hAnsi="Times New Roman" w:eastAsia="宋体" w:cs="Times New Roman"/>
                <w:bCs/>
                <w:color w:val="auto"/>
                <w:spacing w:val="-10"/>
                <w:sz w:val="24"/>
                <w:szCs w:val="24"/>
                <w:highlight w:val="none"/>
                <w:lang w:eastAsia="zh-CN"/>
              </w:rPr>
            </w:pPr>
            <w:r>
              <w:rPr>
                <w:rFonts w:hint="default" w:ascii="Times New Roman" w:hAnsi="Times New Roman" w:eastAsia="宋体" w:cs="Times New Roman"/>
                <w:bCs/>
                <w:color w:val="auto"/>
                <w:spacing w:val="-10"/>
                <w:sz w:val="24"/>
                <w:szCs w:val="24"/>
                <w:highlight w:val="none"/>
                <w:lang w:eastAsia="zh-CN"/>
              </w:rPr>
              <w:t>无</w:t>
            </w:r>
          </w:p>
        </w:tc>
      </w:tr>
      <w:tr w14:paraId="6500A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7" w:hRule="atLeast"/>
          <w:jc w:val="center"/>
        </w:trPr>
        <w:tc>
          <w:tcPr>
            <w:tcW w:w="279" w:type="pct"/>
            <w:noWrap w:val="0"/>
            <w:tcMar>
              <w:left w:w="28" w:type="dxa"/>
              <w:right w:w="28" w:type="dxa"/>
            </w:tcMar>
            <w:vAlign w:val="center"/>
          </w:tcPr>
          <w:p w14:paraId="660F2EB5">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016D4538">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53DEF763">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5703DE7D">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195FA436">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5B37E00D">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4720" w:type="pct"/>
            <w:noWrap w:val="0"/>
            <w:vAlign w:val="center"/>
          </w:tcPr>
          <w:p w14:paraId="79522ADA">
            <w:pPr>
              <w:pStyle w:val="56"/>
              <w:keepNext w:val="0"/>
              <w:keepLines w:val="0"/>
              <w:pageBreakBefore w:val="0"/>
              <w:widowControl w:val="0"/>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4.1废气</w:t>
            </w:r>
          </w:p>
          <w:p w14:paraId="25472AA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1.1</w:t>
            </w:r>
            <w:r>
              <w:rPr>
                <w:rFonts w:hint="default" w:ascii="Times New Roman" w:hAnsi="Times New Roman" w:eastAsia="宋体" w:cs="Times New Roman"/>
                <w:b/>
                <w:bCs/>
                <w:color w:val="auto"/>
                <w:sz w:val="24"/>
                <w:szCs w:val="24"/>
                <w:highlight w:val="none"/>
              </w:rPr>
              <w:t>废气</w:t>
            </w:r>
            <w:r>
              <w:rPr>
                <w:rFonts w:hint="default" w:ascii="Times New Roman" w:hAnsi="Times New Roman" w:eastAsia="宋体" w:cs="Times New Roman"/>
                <w:b/>
                <w:bCs/>
                <w:color w:val="auto"/>
                <w:sz w:val="24"/>
                <w:szCs w:val="24"/>
                <w:highlight w:val="none"/>
                <w:lang w:eastAsia="zh-CN"/>
              </w:rPr>
              <w:t>源强分析</w:t>
            </w:r>
          </w:p>
          <w:p w14:paraId="75FA8194">
            <w:pPr>
              <w:snapToGrid w:val="0"/>
              <w:spacing w:before="0" w:beforeLines="0" w:line="360" w:lineRule="auto"/>
              <w:ind w:firstLine="480" w:firstLineChars="200"/>
              <w:jc w:val="both"/>
              <w:outlineLvl w:val="2"/>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根据工程分析，本项目主要大气污染源为：制版过程（涂胶、</w:t>
            </w:r>
            <w:r>
              <w:rPr>
                <w:rFonts w:hint="eastAsia" w:cs="Times New Roman"/>
                <w:b w:val="0"/>
                <w:bCs w:val="0"/>
                <w:color w:val="000000"/>
                <w:sz w:val="24"/>
                <w:szCs w:val="24"/>
                <w:highlight w:val="none"/>
                <w:lang w:val="en-US" w:eastAsia="zh-CN"/>
              </w:rPr>
              <w:t>晒版</w:t>
            </w:r>
            <w:r>
              <w:rPr>
                <w:rFonts w:hint="eastAsia" w:ascii="Times New Roman" w:hAnsi="Times New Roman" w:eastAsia="宋体" w:cs="Times New Roman"/>
                <w:b w:val="0"/>
                <w:bCs w:val="0"/>
                <w:color w:val="000000"/>
                <w:sz w:val="24"/>
                <w:szCs w:val="24"/>
                <w:highlight w:val="none"/>
                <w:lang w:val="en-US" w:eastAsia="zh-CN"/>
              </w:rPr>
              <w:t>）、调浆、丝印过程（丝印、晾干、烘干）产生的有机废气（以非甲烷总烃计）</w:t>
            </w:r>
            <w:r>
              <w:rPr>
                <w:rFonts w:hint="eastAsia" w:cs="Times New Roman"/>
                <w:b w:val="0"/>
                <w:bCs w:val="0"/>
                <w:color w:val="000000"/>
                <w:sz w:val="24"/>
                <w:szCs w:val="24"/>
                <w:highlight w:val="none"/>
                <w:lang w:val="en-US" w:eastAsia="zh-CN"/>
              </w:rPr>
              <w:t>以及烘干过程使用液化气燃烧产生的液化石油气废气（以SO</w:t>
            </w:r>
            <w:r>
              <w:rPr>
                <w:rFonts w:hint="eastAsia" w:cs="Times New Roman"/>
                <w:b w:val="0"/>
                <w:bCs w:val="0"/>
                <w:color w:val="000000"/>
                <w:sz w:val="24"/>
                <w:szCs w:val="24"/>
                <w:highlight w:val="none"/>
                <w:vertAlign w:val="subscript"/>
                <w:lang w:val="en-US" w:eastAsia="zh-CN"/>
              </w:rPr>
              <w:t>2</w:t>
            </w:r>
            <w:r>
              <w:rPr>
                <w:rFonts w:hint="eastAsia" w:cs="Times New Roman"/>
                <w:b w:val="0"/>
                <w:bCs w:val="0"/>
                <w:color w:val="000000"/>
                <w:sz w:val="24"/>
                <w:szCs w:val="24"/>
                <w:highlight w:val="none"/>
                <w:lang w:val="en-US" w:eastAsia="zh-CN"/>
              </w:rPr>
              <w:t>、NO</w:t>
            </w:r>
            <w:r>
              <w:rPr>
                <w:rFonts w:hint="eastAsia" w:cs="Times New Roman"/>
                <w:b w:val="0"/>
                <w:bCs w:val="0"/>
                <w:color w:val="000000"/>
                <w:sz w:val="24"/>
                <w:szCs w:val="24"/>
                <w:highlight w:val="none"/>
                <w:vertAlign w:val="subscript"/>
                <w:lang w:val="en-US" w:eastAsia="zh-CN"/>
              </w:rPr>
              <w:t>X</w:t>
            </w:r>
            <w:r>
              <w:rPr>
                <w:rFonts w:hint="eastAsia" w:cs="Times New Roman"/>
                <w:b w:val="0"/>
                <w:bCs w:val="0"/>
                <w:color w:val="000000"/>
                <w:sz w:val="24"/>
                <w:szCs w:val="24"/>
                <w:highlight w:val="none"/>
                <w:vertAlign w:val="baseline"/>
                <w:lang w:val="en-US" w:eastAsia="zh-CN"/>
              </w:rPr>
              <w:t>、颗粒物计</w:t>
            </w:r>
            <w:r>
              <w:rPr>
                <w:rFonts w:hint="eastAsia" w:cs="Times New Roman"/>
                <w:b w:val="0"/>
                <w:bCs w:val="0"/>
                <w:color w:val="000000"/>
                <w:sz w:val="24"/>
                <w:szCs w:val="24"/>
                <w:highlight w:val="none"/>
                <w:lang w:val="en-US" w:eastAsia="zh-CN"/>
              </w:rPr>
              <w:t>）</w:t>
            </w:r>
            <w:r>
              <w:rPr>
                <w:rFonts w:hint="eastAsia" w:ascii="Times New Roman" w:hAnsi="Times New Roman" w:eastAsia="宋体" w:cs="Times New Roman"/>
                <w:b w:val="0"/>
                <w:bCs w:val="0"/>
                <w:color w:val="000000"/>
                <w:sz w:val="24"/>
                <w:szCs w:val="24"/>
                <w:highlight w:val="none"/>
                <w:lang w:val="en-US" w:eastAsia="zh-CN"/>
              </w:rPr>
              <w:t>。</w:t>
            </w:r>
          </w:p>
          <w:p w14:paraId="173985EF">
            <w:pPr>
              <w:snapToGrid w:val="0"/>
              <w:spacing w:before="0" w:beforeLines="0" w:line="360" w:lineRule="auto"/>
              <w:ind w:firstLine="480" w:firstLineChars="200"/>
              <w:jc w:val="both"/>
              <w:outlineLvl w:val="2"/>
              <w:rPr>
                <w:rFonts w:hint="eastAsia" w:cs="Times New Roman"/>
                <w:b w:val="0"/>
                <w:bCs w:val="0"/>
                <w:color w:val="000000"/>
                <w:sz w:val="24"/>
                <w:szCs w:val="24"/>
                <w:highlight w:val="none"/>
                <w:lang w:val="en-US" w:eastAsia="zh-CN"/>
              </w:rPr>
            </w:pPr>
            <w:r>
              <w:rPr>
                <w:rFonts w:hint="eastAsia" w:cs="Times New Roman"/>
                <w:b w:val="0"/>
                <w:bCs w:val="0"/>
                <w:color w:val="000000"/>
                <w:sz w:val="24"/>
                <w:szCs w:val="24"/>
                <w:highlight w:val="none"/>
                <w:lang w:val="en-US" w:eastAsia="zh-CN"/>
              </w:rPr>
              <w:t>（1）液化石油气废气</w:t>
            </w:r>
          </w:p>
          <w:p w14:paraId="4A041948">
            <w:pPr>
              <w:snapToGrid w:val="0"/>
              <w:spacing w:before="0" w:beforeLines="0" w:line="360" w:lineRule="auto"/>
              <w:ind w:firstLine="480" w:firstLineChars="200"/>
              <w:jc w:val="both"/>
              <w:outlineLvl w:val="2"/>
              <w:rPr>
                <w:rFonts w:hint="eastAsia" w:cs="Times New Roman"/>
                <w:b w:val="0"/>
                <w:bCs w:val="0"/>
                <w:color w:val="000000"/>
                <w:sz w:val="24"/>
                <w:szCs w:val="24"/>
                <w:highlight w:val="none"/>
                <w:lang w:val="en-US" w:eastAsia="zh-CN"/>
              </w:rPr>
            </w:pPr>
            <w:r>
              <w:rPr>
                <w:rFonts w:hint="eastAsia" w:cs="Times New Roman"/>
                <w:b w:val="0"/>
                <w:bCs w:val="0"/>
                <w:color w:val="000000"/>
                <w:sz w:val="24"/>
                <w:szCs w:val="24"/>
                <w:highlight w:val="none"/>
                <w:lang w:val="en-US" w:eastAsia="zh-CN"/>
              </w:rPr>
              <w:t>项目烘干过程采用液化石油气作为燃料，本次液化石油气废气源强计算参考《排放源统计调查产排污核算方法和系数手册》中“工业锅炉（热力生产和供应行业）行业系数手册”推荐产污系数和HJ953-2018《排污许可证申请与核发技术规范锅炉》表F.3中液化石油气的排污系数，本项目燃料废气产污系数取值见表4-1。根据建设单位提供的资料，液化石油气用量为35t/a，液化气密度为2.35kg/m</w:t>
            </w:r>
            <w:r>
              <w:rPr>
                <w:rFonts w:hint="eastAsia" w:cs="Times New Roman"/>
                <w:b w:val="0"/>
                <w:bCs w:val="0"/>
                <w:color w:val="000000"/>
                <w:sz w:val="24"/>
                <w:szCs w:val="24"/>
                <w:highlight w:val="none"/>
                <w:vertAlign w:val="superscript"/>
                <w:lang w:val="en-US" w:eastAsia="zh-CN"/>
              </w:rPr>
              <w:t>3</w:t>
            </w:r>
            <w:r>
              <w:rPr>
                <w:rFonts w:hint="eastAsia" w:cs="Times New Roman"/>
                <w:b w:val="0"/>
                <w:bCs w:val="0"/>
                <w:color w:val="000000"/>
                <w:sz w:val="24"/>
                <w:szCs w:val="24"/>
                <w:highlight w:val="none"/>
                <w:lang w:val="en-US" w:eastAsia="zh-CN"/>
              </w:rPr>
              <w:t>，即液化气用量为1.489万m</w:t>
            </w:r>
            <w:r>
              <w:rPr>
                <w:rFonts w:hint="eastAsia" w:cs="Times New Roman"/>
                <w:b w:val="0"/>
                <w:bCs w:val="0"/>
                <w:color w:val="000000"/>
                <w:sz w:val="24"/>
                <w:szCs w:val="24"/>
                <w:highlight w:val="none"/>
                <w:vertAlign w:val="superscript"/>
                <w:lang w:val="en-US" w:eastAsia="zh-CN"/>
              </w:rPr>
              <w:t>3</w:t>
            </w:r>
            <w:r>
              <w:rPr>
                <w:rFonts w:hint="eastAsia" w:cs="Times New Roman"/>
                <w:b w:val="0"/>
                <w:bCs w:val="0"/>
                <w:color w:val="000000"/>
                <w:sz w:val="24"/>
                <w:szCs w:val="24"/>
                <w:highlight w:val="none"/>
                <w:vertAlign w:val="baseline"/>
                <w:lang w:val="en-US" w:eastAsia="zh-CN"/>
              </w:rPr>
              <w:t>/a</w:t>
            </w:r>
            <w:r>
              <w:rPr>
                <w:rFonts w:hint="eastAsia" w:cs="Times New Roman"/>
                <w:b w:val="0"/>
                <w:bCs w:val="0"/>
                <w:color w:val="000000"/>
                <w:sz w:val="24"/>
                <w:szCs w:val="24"/>
                <w:highlight w:val="none"/>
                <w:lang w:val="en-US" w:eastAsia="zh-CN"/>
              </w:rPr>
              <w:t>。</w:t>
            </w:r>
          </w:p>
          <w:p w14:paraId="3A7D1EF9">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ascii="宋体" w:hAnsi="宋体" w:eastAsia="宋体" w:cs="宋体"/>
                <w:b/>
                <w:bCs/>
                <w:sz w:val="24"/>
                <w:szCs w:val="24"/>
                <w:highlight w:val="none"/>
              </w:rPr>
            </w:pPr>
            <w:r>
              <w:rPr>
                <w:rFonts w:hint="eastAsia" w:ascii="Times New Roman" w:hAnsi="Times New Roman" w:eastAsia="宋体" w:cs="Times New Roman"/>
                <w:b/>
                <w:bCs/>
                <w:color w:val="000000"/>
                <w:sz w:val="24"/>
                <w:highlight w:val="none"/>
                <w:lang w:val="en-US" w:eastAsia="zh-CN"/>
              </w:rPr>
              <w:t xml:space="preserve">表4-1 </w:t>
            </w:r>
            <w:r>
              <w:rPr>
                <w:rFonts w:ascii="宋体" w:hAnsi="宋体" w:eastAsia="宋体" w:cs="宋体"/>
                <w:sz w:val="24"/>
                <w:szCs w:val="24"/>
                <w:highlight w:val="none"/>
              </w:rPr>
              <w:t xml:space="preserve"> </w:t>
            </w:r>
            <w:r>
              <w:rPr>
                <w:rFonts w:ascii="宋体" w:hAnsi="宋体" w:eastAsia="宋体" w:cs="宋体"/>
                <w:b/>
                <w:bCs/>
                <w:sz w:val="24"/>
                <w:szCs w:val="24"/>
                <w:highlight w:val="none"/>
              </w:rPr>
              <w:t>工业锅炉（热力生产和供应行业）产排污系数表—燃气工业锅炉</w:t>
            </w:r>
          </w:p>
          <w:tbl>
            <w:tblPr>
              <w:tblStyle w:val="26"/>
              <w:tblW w:w="784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075"/>
              <w:gridCol w:w="2055"/>
              <w:gridCol w:w="1245"/>
              <w:gridCol w:w="1295"/>
              <w:gridCol w:w="1230"/>
            </w:tblGrid>
            <w:tr w14:paraId="0860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1" w:type="dxa"/>
                  <w:tcBorders>
                    <w:top w:val="single" w:color="auto" w:sz="12" w:space="0"/>
                    <w:left w:val="nil"/>
                  </w:tcBorders>
                  <w:vAlign w:val="center"/>
                </w:tcPr>
                <w:p w14:paraId="690ACB32">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燃料</w:t>
                  </w:r>
                </w:p>
                <w:p w14:paraId="54F8A329">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名称</w:t>
                  </w:r>
                </w:p>
              </w:tc>
              <w:tc>
                <w:tcPr>
                  <w:tcW w:w="1075" w:type="dxa"/>
                  <w:tcBorders>
                    <w:top w:val="single" w:color="auto" w:sz="12" w:space="0"/>
                  </w:tcBorders>
                  <w:vAlign w:val="center"/>
                </w:tcPr>
                <w:p w14:paraId="09629169">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污染物指标</w:t>
                  </w:r>
                </w:p>
              </w:tc>
              <w:tc>
                <w:tcPr>
                  <w:tcW w:w="2055" w:type="dxa"/>
                  <w:tcBorders>
                    <w:top w:val="single" w:color="auto" w:sz="12" w:space="0"/>
                  </w:tcBorders>
                  <w:vAlign w:val="center"/>
                </w:tcPr>
                <w:p w14:paraId="6DA58FEC">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单位</w:t>
                  </w:r>
                </w:p>
              </w:tc>
              <w:tc>
                <w:tcPr>
                  <w:tcW w:w="1245" w:type="dxa"/>
                  <w:tcBorders>
                    <w:top w:val="single" w:color="auto" w:sz="12" w:space="0"/>
                  </w:tcBorders>
                  <w:vAlign w:val="center"/>
                </w:tcPr>
                <w:p w14:paraId="0B430F8E">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eastAsia="zh-CN"/>
                    </w:rPr>
                    <w:t>产污系数</w:t>
                  </w:r>
                </w:p>
              </w:tc>
              <w:tc>
                <w:tcPr>
                  <w:tcW w:w="1295" w:type="dxa"/>
                  <w:tcBorders>
                    <w:top w:val="single" w:color="auto" w:sz="12" w:space="0"/>
                  </w:tcBorders>
                  <w:vAlign w:val="center"/>
                </w:tcPr>
                <w:p w14:paraId="5F9099DC">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末端治理技术名称</w:t>
                  </w:r>
                </w:p>
              </w:tc>
              <w:tc>
                <w:tcPr>
                  <w:tcW w:w="1230" w:type="dxa"/>
                  <w:tcBorders>
                    <w:top w:val="single" w:color="auto" w:sz="12" w:space="0"/>
                    <w:right w:val="nil"/>
                  </w:tcBorders>
                  <w:vAlign w:val="center"/>
                </w:tcPr>
                <w:p w14:paraId="3F89032C">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eastAsia="zh-CN"/>
                    </w:rPr>
                    <w:t>排污系数</w:t>
                  </w:r>
                </w:p>
              </w:tc>
            </w:tr>
            <w:tr w14:paraId="1229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1" w:type="dxa"/>
                  <w:vMerge w:val="restart"/>
                  <w:tcBorders>
                    <w:left w:val="nil"/>
                  </w:tcBorders>
                  <w:vAlign w:val="center"/>
                </w:tcPr>
                <w:p w14:paraId="4C35C95A">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液化</w:t>
                  </w:r>
                  <w:r>
                    <w:rPr>
                      <w:rFonts w:hint="default" w:ascii="Times New Roman" w:hAnsi="Times New Roman" w:cs="Times New Roman"/>
                      <w:b w:val="0"/>
                      <w:bCs w:val="0"/>
                      <w:sz w:val="21"/>
                      <w:szCs w:val="21"/>
                      <w:highlight w:val="none"/>
                      <w:vertAlign w:val="baseline"/>
                      <w:lang w:eastAsia="zh-CN"/>
                    </w:rPr>
                    <w:t>石油</w:t>
                  </w:r>
                  <w:r>
                    <w:rPr>
                      <w:rFonts w:hint="default" w:ascii="Times New Roman" w:hAnsi="Times New Roman" w:eastAsia="宋体" w:cs="Times New Roman"/>
                      <w:b w:val="0"/>
                      <w:bCs w:val="0"/>
                      <w:sz w:val="21"/>
                      <w:szCs w:val="21"/>
                      <w:highlight w:val="none"/>
                      <w:vertAlign w:val="baseline"/>
                      <w:lang w:eastAsia="zh-CN"/>
                    </w:rPr>
                    <w:t>气</w:t>
                  </w:r>
                </w:p>
              </w:tc>
              <w:tc>
                <w:tcPr>
                  <w:tcW w:w="1075" w:type="dxa"/>
                  <w:vAlign w:val="center"/>
                </w:tcPr>
                <w:p w14:paraId="5F1B86CA">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废气量</w:t>
                  </w:r>
                </w:p>
              </w:tc>
              <w:tc>
                <w:tcPr>
                  <w:tcW w:w="2055" w:type="dxa"/>
                  <w:vAlign w:val="center"/>
                </w:tcPr>
                <w:p w14:paraId="037AC91F">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eastAsia="zh-CN"/>
                    </w:rPr>
                    <w:t>标立方米</w:t>
                  </w:r>
                  <w:r>
                    <w:rPr>
                      <w:rFonts w:hint="default" w:ascii="Times New Roman" w:hAnsi="Times New Roman" w:eastAsia="宋体" w:cs="Times New Roman"/>
                      <w:b w:val="0"/>
                      <w:bCs w:val="0"/>
                      <w:sz w:val="21"/>
                      <w:szCs w:val="21"/>
                      <w:highlight w:val="none"/>
                      <w:vertAlign w:val="baseline"/>
                      <w:lang w:val="en-US" w:eastAsia="zh-CN"/>
                    </w:rPr>
                    <w:t>/吨-原料</w:t>
                  </w:r>
                </w:p>
              </w:tc>
              <w:tc>
                <w:tcPr>
                  <w:tcW w:w="1245" w:type="dxa"/>
                  <w:vAlign w:val="center"/>
                </w:tcPr>
                <w:p w14:paraId="4EA0A2F1">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13237</w:t>
                  </w:r>
                </w:p>
              </w:tc>
              <w:tc>
                <w:tcPr>
                  <w:tcW w:w="1295" w:type="dxa"/>
                  <w:vAlign w:val="center"/>
                </w:tcPr>
                <w:p w14:paraId="40090DF5">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直排</w:t>
                  </w:r>
                </w:p>
              </w:tc>
              <w:tc>
                <w:tcPr>
                  <w:tcW w:w="1230" w:type="dxa"/>
                  <w:tcBorders>
                    <w:right w:val="nil"/>
                  </w:tcBorders>
                  <w:vAlign w:val="center"/>
                </w:tcPr>
                <w:p w14:paraId="136F940D">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13237</w:t>
                  </w:r>
                </w:p>
              </w:tc>
            </w:tr>
            <w:tr w14:paraId="480C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1" w:type="dxa"/>
                  <w:vMerge w:val="continue"/>
                  <w:tcBorders>
                    <w:left w:val="nil"/>
                  </w:tcBorders>
                  <w:vAlign w:val="center"/>
                </w:tcPr>
                <w:p w14:paraId="185E9438">
                  <w:pPr>
                    <w:jc w:val="center"/>
                    <w:rPr>
                      <w:rFonts w:hint="default" w:ascii="Times New Roman" w:hAnsi="Times New Roman" w:eastAsia="宋体" w:cs="Times New Roman"/>
                      <w:b w:val="0"/>
                      <w:bCs w:val="0"/>
                      <w:sz w:val="21"/>
                      <w:szCs w:val="21"/>
                      <w:highlight w:val="none"/>
                      <w:vertAlign w:val="baseline"/>
                    </w:rPr>
                  </w:pPr>
                </w:p>
              </w:tc>
              <w:tc>
                <w:tcPr>
                  <w:tcW w:w="1075" w:type="dxa"/>
                  <w:vAlign w:val="center"/>
                </w:tcPr>
                <w:p w14:paraId="2A687ACF">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二氧化硫</w:t>
                  </w:r>
                </w:p>
              </w:tc>
              <w:tc>
                <w:tcPr>
                  <w:tcW w:w="2055" w:type="dxa"/>
                  <w:vAlign w:val="center"/>
                </w:tcPr>
                <w:p w14:paraId="71F8EC98">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Kg/吨-原料</w:t>
                  </w:r>
                </w:p>
              </w:tc>
              <w:tc>
                <w:tcPr>
                  <w:tcW w:w="1245" w:type="dxa"/>
                  <w:vAlign w:val="center"/>
                </w:tcPr>
                <w:p w14:paraId="4962816E">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0.00092S*</w:t>
                  </w:r>
                </w:p>
              </w:tc>
              <w:tc>
                <w:tcPr>
                  <w:tcW w:w="1295" w:type="dxa"/>
                  <w:vAlign w:val="center"/>
                </w:tcPr>
                <w:p w14:paraId="49AB60F5">
                  <w:pPr>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eastAsia="zh-CN"/>
                    </w:rPr>
                    <w:t>直排</w:t>
                  </w:r>
                </w:p>
              </w:tc>
              <w:tc>
                <w:tcPr>
                  <w:tcW w:w="1230" w:type="dxa"/>
                  <w:tcBorders>
                    <w:right w:val="nil"/>
                  </w:tcBorders>
                  <w:vAlign w:val="center"/>
                </w:tcPr>
                <w:p w14:paraId="422AC4B3">
                  <w:pPr>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0.00092S*</w:t>
                  </w:r>
                </w:p>
              </w:tc>
            </w:tr>
            <w:tr w14:paraId="3B98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1" w:type="dxa"/>
                  <w:vMerge w:val="continue"/>
                  <w:tcBorders>
                    <w:left w:val="nil"/>
                  </w:tcBorders>
                  <w:vAlign w:val="center"/>
                </w:tcPr>
                <w:p w14:paraId="6FDEB0BF">
                  <w:pPr>
                    <w:jc w:val="center"/>
                    <w:rPr>
                      <w:rFonts w:hint="default" w:ascii="Times New Roman" w:hAnsi="Times New Roman" w:eastAsia="宋体" w:cs="Times New Roman"/>
                      <w:b w:val="0"/>
                      <w:bCs w:val="0"/>
                      <w:sz w:val="21"/>
                      <w:szCs w:val="21"/>
                      <w:highlight w:val="none"/>
                      <w:vertAlign w:val="baseline"/>
                    </w:rPr>
                  </w:pPr>
                </w:p>
              </w:tc>
              <w:tc>
                <w:tcPr>
                  <w:tcW w:w="1075" w:type="dxa"/>
                  <w:vAlign w:val="center"/>
                </w:tcPr>
                <w:p w14:paraId="0E3D8EE8">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氮氧化物</w:t>
                  </w:r>
                </w:p>
              </w:tc>
              <w:tc>
                <w:tcPr>
                  <w:tcW w:w="2055" w:type="dxa"/>
                  <w:vAlign w:val="center"/>
                </w:tcPr>
                <w:p w14:paraId="07732520">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Kg/吨-原料</w:t>
                  </w:r>
                </w:p>
              </w:tc>
              <w:tc>
                <w:tcPr>
                  <w:tcW w:w="1245" w:type="dxa"/>
                  <w:vAlign w:val="center"/>
                </w:tcPr>
                <w:p w14:paraId="704D0258">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2.75</w:t>
                  </w:r>
                </w:p>
              </w:tc>
              <w:tc>
                <w:tcPr>
                  <w:tcW w:w="1295" w:type="dxa"/>
                  <w:vAlign w:val="center"/>
                </w:tcPr>
                <w:p w14:paraId="223D3CD0">
                  <w:pPr>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eastAsia="zh-CN"/>
                    </w:rPr>
                    <w:t>直排</w:t>
                  </w:r>
                </w:p>
              </w:tc>
              <w:tc>
                <w:tcPr>
                  <w:tcW w:w="1230" w:type="dxa"/>
                  <w:tcBorders>
                    <w:right w:val="nil"/>
                  </w:tcBorders>
                  <w:vAlign w:val="center"/>
                </w:tcPr>
                <w:p w14:paraId="0966862A">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2.75</w:t>
                  </w:r>
                </w:p>
              </w:tc>
            </w:tr>
            <w:tr w14:paraId="3B45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1" w:type="dxa"/>
                  <w:vMerge w:val="continue"/>
                  <w:tcBorders>
                    <w:left w:val="nil"/>
                  </w:tcBorders>
                  <w:vAlign w:val="center"/>
                </w:tcPr>
                <w:p w14:paraId="6E44694E">
                  <w:pPr>
                    <w:jc w:val="center"/>
                    <w:rPr>
                      <w:rFonts w:hint="default" w:ascii="Times New Roman" w:hAnsi="Times New Roman" w:eastAsia="宋体" w:cs="Times New Roman"/>
                      <w:b w:val="0"/>
                      <w:bCs w:val="0"/>
                      <w:sz w:val="21"/>
                      <w:szCs w:val="21"/>
                      <w:highlight w:val="none"/>
                      <w:vertAlign w:val="baseline"/>
                    </w:rPr>
                  </w:pPr>
                </w:p>
              </w:tc>
              <w:tc>
                <w:tcPr>
                  <w:tcW w:w="1075" w:type="dxa"/>
                  <w:vAlign w:val="center"/>
                </w:tcPr>
                <w:p w14:paraId="2DF98FFF">
                  <w:pPr>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颗粒物</w:t>
                  </w:r>
                </w:p>
              </w:tc>
              <w:tc>
                <w:tcPr>
                  <w:tcW w:w="2055" w:type="dxa"/>
                  <w:vAlign w:val="center"/>
                </w:tcPr>
                <w:p w14:paraId="5771D678">
                  <w:pPr>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Kg/万立方米-原料</w:t>
                  </w:r>
                </w:p>
              </w:tc>
              <w:tc>
                <w:tcPr>
                  <w:tcW w:w="1245" w:type="dxa"/>
                  <w:vAlign w:val="center"/>
                </w:tcPr>
                <w:p w14:paraId="4CFEE782">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2.86</w:t>
                  </w:r>
                </w:p>
              </w:tc>
              <w:tc>
                <w:tcPr>
                  <w:tcW w:w="1295" w:type="dxa"/>
                  <w:vAlign w:val="center"/>
                </w:tcPr>
                <w:p w14:paraId="6A07E928">
                  <w:pPr>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eastAsia="zh-CN"/>
                    </w:rPr>
                    <w:t>直排</w:t>
                  </w:r>
                </w:p>
              </w:tc>
              <w:tc>
                <w:tcPr>
                  <w:tcW w:w="1230" w:type="dxa"/>
                  <w:tcBorders>
                    <w:right w:val="nil"/>
                  </w:tcBorders>
                  <w:vAlign w:val="center"/>
                </w:tcPr>
                <w:p w14:paraId="6CC85C9B">
                  <w:pPr>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2.86</w:t>
                  </w:r>
                </w:p>
              </w:tc>
            </w:tr>
            <w:tr w14:paraId="03A6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41" w:type="dxa"/>
                  <w:gridSpan w:val="6"/>
                  <w:tcBorders>
                    <w:left w:val="nil"/>
                    <w:bottom w:val="single" w:color="auto" w:sz="12" w:space="0"/>
                    <w:right w:val="nil"/>
                  </w:tcBorders>
                  <w:vAlign w:val="center"/>
                </w:tcPr>
                <w:p w14:paraId="2ED1BF2C">
                  <w:pPr>
                    <w:jc w:val="both"/>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b w:val="0"/>
                      <w:bCs w:val="0"/>
                      <w:sz w:val="21"/>
                      <w:szCs w:val="21"/>
                      <w:highlight w:val="none"/>
                      <w:vertAlign w:val="baseline"/>
                      <w:lang w:val="en-US" w:eastAsia="zh-CN"/>
                    </w:rPr>
                    <w:t>注：</w:t>
                  </w:r>
                  <w:r>
                    <w:rPr>
                      <w:rFonts w:hint="default" w:ascii="Times New Roman" w:hAnsi="Times New Roman" w:eastAsia="宋体" w:cs="Times New Roman"/>
                      <w:color w:val="000000"/>
                      <w:sz w:val="21"/>
                      <w:szCs w:val="21"/>
                      <w:highlight w:val="none"/>
                      <w:lang w:val="en-US" w:eastAsia="zh-CN"/>
                    </w:rPr>
                    <w:t>①S指含硫量，根据GB11174-2011《液化石油气》，拟建项目S取343mg/m</w:t>
                  </w:r>
                  <w:r>
                    <w:rPr>
                      <w:rFonts w:hint="default" w:ascii="Times New Roman" w:hAnsi="Times New Roman" w:eastAsia="宋体" w:cs="Times New Roman"/>
                      <w:color w:val="000000"/>
                      <w:sz w:val="21"/>
                      <w:szCs w:val="21"/>
                      <w:highlight w:val="none"/>
                      <w:vertAlign w:val="superscript"/>
                      <w:lang w:val="en-US" w:eastAsia="zh-CN"/>
                    </w:rPr>
                    <w:t>3</w:t>
                  </w:r>
                </w:p>
                <w:p w14:paraId="35E2E1DA">
                  <w:pPr>
                    <w:jc w:val="both"/>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②颗粒物产生量参照HJ953-2018《排污许可证申请与核发技术规范 锅炉》中有关燃气（液化石油气）工业锅炉废气产排污系数。</w:t>
                  </w:r>
                </w:p>
              </w:tc>
            </w:tr>
          </w:tbl>
          <w:p w14:paraId="0DCC72B6">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经计算可得本项目液化气废气中污染物源强如下：</w:t>
            </w:r>
          </w:p>
          <w:p w14:paraId="44AE1B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废气量=35</w:t>
            </w:r>
            <w:r>
              <w:rPr>
                <w:rFonts w:hint="default" w:ascii="Times New Roman" w:hAnsi="Times New Roman" w:eastAsia="宋体"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13237=463295m</w:t>
            </w:r>
            <w:r>
              <w:rPr>
                <w:rFonts w:hint="eastAsia" w:ascii="Times New Roman" w:hAnsi="Times New Roman" w:eastAsia="宋体" w:cs="Times New Roman"/>
                <w:b w:val="0"/>
                <w:bCs w:val="0"/>
                <w:color w:val="000000"/>
                <w:sz w:val="24"/>
                <w:highlight w:val="none"/>
                <w:vertAlign w:val="superscript"/>
                <w:lang w:val="en-US" w:eastAsia="zh-CN"/>
              </w:rPr>
              <w:t>3</w:t>
            </w:r>
            <w:r>
              <w:rPr>
                <w:rFonts w:hint="eastAsia" w:ascii="Times New Roman" w:hAnsi="Times New Roman" w:eastAsia="宋体" w:cs="Times New Roman"/>
                <w:b w:val="0"/>
                <w:bCs w:val="0"/>
                <w:color w:val="000000"/>
                <w:sz w:val="24"/>
                <w:highlight w:val="none"/>
                <w:lang w:val="en-US" w:eastAsia="zh-CN"/>
              </w:rPr>
              <w:t>/a；</w:t>
            </w:r>
          </w:p>
          <w:p w14:paraId="3EC068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二氧化硫产生量=35</w:t>
            </w:r>
            <w:r>
              <w:rPr>
                <w:rFonts w:hint="default" w:ascii="Times New Roman" w:hAnsi="Times New Roman" w:eastAsia="宋体"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0.00092</w:t>
            </w:r>
            <w:r>
              <w:rPr>
                <w:rFonts w:hint="default" w:ascii="Times New Roman" w:hAnsi="Times New Roman" w:eastAsia="宋体"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343</w:t>
            </w:r>
            <w:r>
              <w:rPr>
                <w:rFonts w:hint="default" w:ascii="Times New Roman" w:hAnsi="Times New Roman" w:eastAsia="宋体"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10</w:t>
            </w:r>
            <w:r>
              <w:rPr>
                <w:rFonts w:hint="eastAsia" w:ascii="Times New Roman" w:hAnsi="Times New Roman" w:eastAsia="宋体" w:cs="Times New Roman"/>
                <w:b w:val="0"/>
                <w:bCs w:val="0"/>
                <w:color w:val="000000"/>
                <w:sz w:val="24"/>
                <w:highlight w:val="none"/>
                <w:vertAlign w:val="superscript"/>
                <w:lang w:val="en-US" w:eastAsia="zh-CN"/>
              </w:rPr>
              <w:t>-3</w:t>
            </w:r>
            <w:r>
              <w:rPr>
                <w:rFonts w:hint="eastAsia" w:ascii="Times New Roman" w:hAnsi="Times New Roman" w:eastAsia="宋体" w:cs="Times New Roman"/>
                <w:b w:val="0"/>
                <w:bCs w:val="0"/>
                <w:color w:val="000000"/>
                <w:sz w:val="24"/>
                <w:highlight w:val="none"/>
                <w:lang w:val="en-US" w:eastAsia="zh-CN"/>
              </w:rPr>
              <w:t>=0.0110t/a；</w:t>
            </w:r>
          </w:p>
          <w:p w14:paraId="4D6EB76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氮氧化物产生量=35</w:t>
            </w:r>
            <w:r>
              <w:rPr>
                <w:rFonts w:hint="default" w:ascii="Times New Roman" w:hAnsi="Times New Roman" w:eastAsia="宋体"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2.75</w:t>
            </w:r>
            <w:r>
              <w:rPr>
                <w:rFonts w:hint="default" w:ascii="Times New Roman" w:hAnsi="Times New Roman" w:eastAsia="宋体"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10</w:t>
            </w:r>
            <w:r>
              <w:rPr>
                <w:rFonts w:hint="eastAsia" w:ascii="Times New Roman" w:hAnsi="Times New Roman" w:eastAsia="宋体" w:cs="Times New Roman"/>
                <w:b w:val="0"/>
                <w:bCs w:val="0"/>
                <w:color w:val="000000"/>
                <w:sz w:val="24"/>
                <w:highlight w:val="none"/>
                <w:vertAlign w:val="superscript"/>
                <w:lang w:val="en-US" w:eastAsia="zh-CN"/>
              </w:rPr>
              <w:t>-3</w:t>
            </w:r>
            <w:r>
              <w:rPr>
                <w:rFonts w:hint="eastAsia" w:ascii="Times New Roman" w:hAnsi="Times New Roman" w:eastAsia="宋体" w:cs="Times New Roman"/>
                <w:b w:val="0"/>
                <w:bCs w:val="0"/>
                <w:color w:val="000000"/>
                <w:sz w:val="24"/>
                <w:highlight w:val="none"/>
                <w:lang w:val="en-US" w:eastAsia="zh-CN"/>
              </w:rPr>
              <w:t>=0.0963t/a；</w:t>
            </w:r>
          </w:p>
          <w:p w14:paraId="673631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颗粒物产生量=1.489</w:t>
            </w:r>
            <w:r>
              <w:rPr>
                <w:rFonts w:hint="default" w:ascii="Times New Roman" w:hAnsi="Times New Roman" w:eastAsia="宋体"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2.86</w:t>
            </w:r>
            <w:r>
              <w:rPr>
                <w:rFonts w:hint="default" w:ascii="Times New Roman" w:hAnsi="Times New Roman" w:eastAsia="宋体"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10</w:t>
            </w:r>
            <w:r>
              <w:rPr>
                <w:rFonts w:hint="eastAsia" w:ascii="Times New Roman" w:hAnsi="Times New Roman" w:eastAsia="宋体" w:cs="Times New Roman"/>
                <w:b w:val="0"/>
                <w:bCs w:val="0"/>
                <w:color w:val="000000"/>
                <w:sz w:val="24"/>
                <w:highlight w:val="none"/>
                <w:vertAlign w:val="superscript"/>
                <w:lang w:val="en-US" w:eastAsia="zh-CN"/>
              </w:rPr>
              <w:t>-3</w:t>
            </w:r>
            <w:r>
              <w:rPr>
                <w:rFonts w:hint="eastAsia" w:ascii="Times New Roman" w:hAnsi="Times New Roman" w:eastAsia="宋体" w:cs="Times New Roman"/>
                <w:b w:val="0"/>
                <w:bCs w:val="0"/>
                <w:color w:val="000000"/>
                <w:sz w:val="24"/>
                <w:highlight w:val="none"/>
                <w:lang w:val="en-US" w:eastAsia="zh-CN"/>
              </w:rPr>
              <w:t>=0.0043t/a；</w:t>
            </w:r>
          </w:p>
          <w:p w14:paraId="4D9C61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sz w:val="24"/>
                <w:highlight w:val="none"/>
                <w:lang w:val="en-US" w:eastAsia="zh-CN"/>
              </w:rPr>
            </w:pPr>
            <w:r>
              <w:rPr>
                <w:rFonts w:hint="default" w:ascii="Times New Roman" w:hAnsi="Times New Roman" w:eastAsia="宋体" w:cs="Times New Roman"/>
                <w:b w:val="0"/>
                <w:bCs w:val="0"/>
                <w:color w:val="000000"/>
                <w:sz w:val="24"/>
                <w:highlight w:val="none"/>
                <w:lang w:val="en-US" w:eastAsia="zh-CN"/>
              </w:rPr>
              <w:t>燃料废气拟由集气罩收集后直接通过1根2</w:t>
            </w:r>
            <w:r>
              <w:rPr>
                <w:rFonts w:hint="eastAsia" w:cs="Times New Roman"/>
                <w:b w:val="0"/>
                <w:bCs w:val="0"/>
                <w:color w:val="000000"/>
                <w:sz w:val="24"/>
                <w:highlight w:val="none"/>
                <w:lang w:val="en-US" w:eastAsia="zh-CN"/>
              </w:rPr>
              <w:t>0</w:t>
            </w:r>
            <w:r>
              <w:rPr>
                <w:rFonts w:hint="default" w:ascii="Times New Roman" w:hAnsi="Times New Roman" w:eastAsia="宋体" w:cs="Times New Roman"/>
                <w:b w:val="0"/>
                <w:bCs w:val="0"/>
                <w:color w:val="000000"/>
                <w:sz w:val="24"/>
                <w:highlight w:val="none"/>
                <w:lang w:val="en-US" w:eastAsia="zh-CN"/>
              </w:rPr>
              <w:t>m高排气筒</w:t>
            </w:r>
            <w:r>
              <w:rPr>
                <w:rFonts w:hint="eastAsia" w:cs="Times New Roman"/>
                <w:b w:val="0"/>
                <w:bCs w:val="0"/>
                <w:color w:val="000000"/>
                <w:sz w:val="24"/>
                <w:highlight w:val="none"/>
                <w:lang w:val="en-US" w:eastAsia="zh-CN"/>
              </w:rPr>
              <w:t>（</w:t>
            </w:r>
            <w:r>
              <w:rPr>
                <w:rFonts w:hint="default" w:ascii="Times New Roman" w:hAnsi="Times New Roman" w:eastAsia="宋体" w:cs="Times New Roman"/>
                <w:b w:val="0"/>
                <w:bCs w:val="0"/>
                <w:color w:val="000000"/>
                <w:sz w:val="24"/>
                <w:highlight w:val="none"/>
                <w:lang w:val="en-US" w:eastAsia="zh-CN"/>
              </w:rPr>
              <w:t>DA001</w:t>
            </w:r>
            <w:r>
              <w:rPr>
                <w:rFonts w:hint="eastAsia" w:cs="Times New Roman"/>
                <w:b w:val="0"/>
                <w:bCs w:val="0"/>
                <w:color w:val="000000"/>
                <w:sz w:val="24"/>
                <w:highlight w:val="none"/>
                <w:lang w:val="en-US" w:eastAsia="zh-CN"/>
              </w:rPr>
              <w:t>）</w:t>
            </w:r>
            <w:r>
              <w:rPr>
                <w:rFonts w:hint="default" w:ascii="Times New Roman" w:hAnsi="Times New Roman" w:eastAsia="宋体" w:cs="Times New Roman"/>
                <w:b w:val="0"/>
                <w:bCs w:val="0"/>
                <w:color w:val="000000"/>
                <w:sz w:val="24"/>
                <w:highlight w:val="none"/>
                <w:lang w:val="en-US" w:eastAsia="zh-CN"/>
              </w:rPr>
              <w:t>排放。项目年工作</w:t>
            </w:r>
            <w:r>
              <w:rPr>
                <w:rFonts w:hint="eastAsia" w:ascii="Times New Roman" w:hAnsi="Times New Roman" w:eastAsia="宋体" w:cs="Times New Roman"/>
                <w:b w:val="0"/>
                <w:bCs w:val="0"/>
                <w:color w:val="000000"/>
                <w:sz w:val="24"/>
                <w:highlight w:val="none"/>
                <w:lang w:val="en-US" w:eastAsia="zh-CN"/>
              </w:rPr>
              <w:t>36</w:t>
            </w:r>
            <w:r>
              <w:rPr>
                <w:rFonts w:hint="default" w:ascii="Times New Roman" w:hAnsi="Times New Roman" w:eastAsia="宋体" w:cs="Times New Roman"/>
                <w:b w:val="0"/>
                <w:bCs w:val="0"/>
                <w:color w:val="000000"/>
                <w:sz w:val="24"/>
                <w:highlight w:val="none"/>
                <w:lang w:val="en-US" w:eastAsia="zh-CN"/>
              </w:rPr>
              <w:t>00h，集气效率按80%计，则项目</w:t>
            </w:r>
            <w:r>
              <w:rPr>
                <w:rFonts w:hint="eastAsia" w:ascii="Times New Roman" w:hAnsi="Times New Roman" w:eastAsia="宋体" w:cs="Times New Roman"/>
                <w:b w:val="0"/>
                <w:bCs w:val="0"/>
                <w:color w:val="000000"/>
                <w:sz w:val="24"/>
                <w:highlight w:val="none"/>
                <w:lang w:val="en-US" w:eastAsia="zh-CN"/>
              </w:rPr>
              <w:t>液化气</w:t>
            </w:r>
            <w:r>
              <w:rPr>
                <w:rFonts w:hint="default" w:ascii="Times New Roman" w:hAnsi="Times New Roman" w:eastAsia="宋体" w:cs="Times New Roman"/>
                <w:b w:val="0"/>
                <w:bCs w:val="0"/>
                <w:color w:val="000000"/>
                <w:sz w:val="24"/>
                <w:highlight w:val="none"/>
                <w:lang w:val="en-US" w:eastAsia="zh-CN"/>
              </w:rPr>
              <w:t>废气产排情况详见表</w:t>
            </w:r>
            <w:r>
              <w:rPr>
                <w:rFonts w:hint="eastAsia" w:ascii="Times New Roman" w:hAnsi="Times New Roman" w:eastAsia="宋体" w:cs="Times New Roman"/>
                <w:b w:val="0"/>
                <w:bCs w:val="0"/>
                <w:color w:val="000000"/>
                <w:sz w:val="24"/>
                <w:highlight w:val="none"/>
                <w:lang w:val="en-US" w:eastAsia="zh-CN"/>
              </w:rPr>
              <w:t>4-2。</w:t>
            </w:r>
          </w:p>
          <w:p w14:paraId="4FF9D3C8">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b/>
                <w:bCs/>
                <w:highlight w:val="none"/>
                <w:lang w:val="en-US" w:eastAsia="zh-CN"/>
              </w:rPr>
            </w:pPr>
            <w:r>
              <w:rPr>
                <w:rFonts w:hint="eastAsia" w:ascii="Times New Roman" w:hAnsi="Times New Roman" w:eastAsia="宋体" w:cs="Times New Roman"/>
                <w:b/>
                <w:bCs/>
                <w:color w:val="000000"/>
                <w:sz w:val="24"/>
                <w:highlight w:val="none"/>
                <w:lang w:val="en-US" w:eastAsia="zh-CN"/>
              </w:rPr>
              <w:t>表4-2本项目废气产排情况一览表</w:t>
            </w:r>
          </w:p>
          <w:tbl>
            <w:tblPr>
              <w:tblStyle w:val="26"/>
              <w:tblW w:w="78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5"/>
              <w:gridCol w:w="837"/>
              <w:gridCol w:w="1185"/>
              <w:gridCol w:w="855"/>
              <w:gridCol w:w="1170"/>
              <w:gridCol w:w="1050"/>
              <w:gridCol w:w="958"/>
            </w:tblGrid>
            <w:tr w14:paraId="71BE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89" w:type="dxa"/>
                  <w:tcBorders>
                    <w:top w:val="single" w:color="auto" w:sz="12" w:space="0"/>
                    <w:left w:val="nil"/>
                  </w:tcBorders>
                  <w:noWrap w:val="0"/>
                  <w:vAlign w:val="center"/>
                </w:tcPr>
                <w:p w14:paraId="7A09E9A3">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b w:val="0"/>
                      <w:bCs w:val="0"/>
                      <w:color w:val="000000"/>
                      <w:sz w:val="18"/>
                      <w:szCs w:val="18"/>
                      <w:highlight w:val="none"/>
                      <w:vertAlign w:val="baseline"/>
                      <w:lang w:val="en-US" w:eastAsia="zh-CN"/>
                    </w:rPr>
                  </w:pPr>
                  <w:r>
                    <w:rPr>
                      <w:rFonts w:hint="eastAsia" w:ascii="Times New Roman" w:hAnsi="Times New Roman" w:eastAsia="宋体" w:cs="Times New Roman"/>
                      <w:b w:val="0"/>
                      <w:bCs w:val="0"/>
                      <w:color w:val="000000"/>
                      <w:sz w:val="18"/>
                      <w:szCs w:val="18"/>
                      <w:highlight w:val="none"/>
                      <w:vertAlign w:val="baseline"/>
                      <w:lang w:val="en-US" w:eastAsia="zh-CN"/>
                    </w:rPr>
                    <w:t>污染源</w:t>
                  </w:r>
                </w:p>
              </w:tc>
              <w:tc>
                <w:tcPr>
                  <w:tcW w:w="995" w:type="dxa"/>
                  <w:tcBorders>
                    <w:top w:val="single" w:color="auto" w:sz="12" w:space="0"/>
                  </w:tcBorders>
                  <w:noWrap w:val="0"/>
                  <w:vAlign w:val="center"/>
                </w:tcPr>
                <w:p w14:paraId="05C2D19D">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000000"/>
                      <w:sz w:val="18"/>
                      <w:szCs w:val="18"/>
                      <w:highlight w:val="none"/>
                      <w:vertAlign w:val="baseline"/>
                      <w:lang w:val="en-US" w:eastAsia="zh-CN"/>
                    </w:rPr>
                  </w:pPr>
                  <w:r>
                    <w:rPr>
                      <w:rFonts w:hint="eastAsia" w:ascii="Times New Roman" w:hAnsi="Times New Roman" w:eastAsia="宋体" w:cs="Times New Roman"/>
                      <w:b w:val="0"/>
                      <w:bCs w:val="0"/>
                      <w:color w:val="000000"/>
                      <w:sz w:val="18"/>
                      <w:szCs w:val="18"/>
                      <w:highlight w:val="none"/>
                      <w:vertAlign w:val="baseline"/>
                      <w:lang w:val="en-US" w:eastAsia="zh-CN"/>
                    </w:rPr>
                    <w:t>污染物</w:t>
                  </w:r>
                </w:p>
              </w:tc>
              <w:tc>
                <w:tcPr>
                  <w:tcW w:w="837" w:type="dxa"/>
                  <w:tcBorders>
                    <w:top w:val="single" w:color="auto" w:sz="12" w:space="0"/>
                  </w:tcBorders>
                  <w:noWrap w:val="0"/>
                  <w:vAlign w:val="center"/>
                </w:tcPr>
                <w:p w14:paraId="23ED2034">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b w:val="0"/>
                      <w:bCs w:val="0"/>
                      <w:sz w:val="18"/>
                      <w:szCs w:val="18"/>
                      <w:highlight w:val="none"/>
                      <w:lang w:val="en-US" w:eastAsia="zh-CN"/>
                    </w:rPr>
                  </w:pPr>
                  <w:r>
                    <w:rPr>
                      <w:rFonts w:hint="eastAsia"/>
                      <w:b w:val="0"/>
                      <w:bCs w:val="0"/>
                      <w:sz w:val="18"/>
                      <w:szCs w:val="18"/>
                      <w:highlight w:val="none"/>
                      <w:lang w:val="en-US" w:eastAsia="zh-CN"/>
                    </w:rPr>
                    <w:t>排放方式</w:t>
                  </w:r>
                </w:p>
              </w:tc>
              <w:tc>
                <w:tcPr>
                  <w:tcW w:w="1185" w:type="dxa"/>
                  <w:tcBorders>
                    <w:top w:val="single" w:color="auto" w:sz="12" w:space="0"/>
                  </w:tcBorders>
                  <w:noWrap w:val="0"/>
                  <w:vAlign w:val="center"/>
                </w:tcPr>
                <w:p w14:paraId="5B8A8A48">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val="0"/>
                      <w:bCs w:val="0"/>
                      <w:color w:val="000000"/>
                      <w:sz w:val="18"/>
                      <w:szCs w:val="18"/>
                      <w:highlight w:val="none"/>
                      <w:vertAlign w:val="baseline"/>
                      <w:lang w:val="en-US" w:eastAsia="zh-CN"/>
                    </w:rPr>
                  </w:pPr>
                  <w:r>
                    <w:rPr>
                      <w:rFonts w:hint="eastAsia" w:ascii="Times New Roman" w:hAnsi="Times New Roman" w:eastAsia="宋体" w:cs="Times New Roman"/>
                      <w:b w:val="0"/>
                      <w:bCs w:val="0"/>
                      <w:color w:val="000000"/>
                      <w:sz w:val="18"/>
                      <w:szCs w:val="18"/>
                      <w:highlight w:val="none"/>
                      <w:vertAlign w:val="baseline"/>
                      <w:lang w:val="en-US" w:eastAsia="zh-CN"/>
                    </w:rPr>
                    <w:t>排气量</w:t>
                  </w:r>
                </w:p>
                <w:p w14:paraId="0A99CF42">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18"/>
                      <w:szCs w:val="18"/>
                      <w:highlight w:val="none"/>
                      <w:lang w:val="en-US" w:eastAsia="zh-CN"/>
                    </w:rPr>
                  </w:pPr>
                  <w:r>
                    <w:rPr>
                      <w:rFonts w:hint="eastAsia"/>
                      <w:b w:val="0"/>
                      <w:bCs w:val="0"/>
                      <w:sz w:val="18"/>
                      <w:szCs w:val="18"/>
                      <w:highlight w:val="none"/>
                      <w:lang w:val="en-US" w:eastAsia="zh-CN"/>
                    </w:rPr>
                    <w:t>（万m</w:t>
                  </w:r>
                  <w:r>
                    <w:rPr>
                      <w:rFonts w:hint="eastAsia"/>
                      <w:b w:val="0"/>
                      <w:bCs w:val="0"/>
                      <w:sz w:val="18"/>
                      <w:szCs w:val="18"/>
                      <w:highlight w:val="none"/>
                      <w:vertAlign w:val="superscript"/>
                      <w:lang w:val="en-US" w:eastAsia="zh-CN"/>
                    </w:rPr>
                    <w:t>3</w:t>
                  </w:r>
                  <w:r>
                    <w:rPr>
                      <w:rFonts w:hint="eastAsia"/>
                      <w:b w:val="0"/>
                      <w:bCs w:val="0"/>
                      <w:sz w:val="18"/>
                      <w:szCs w:val="18"/>
                      <w:highlight w:val="none"/>
                      <w:lang w:val="en-US" w:eastAsia="zh-CN"/>
                    </w:rPr>
                    <w:t>/a）</w:t>
                  </w:r>
                </w:p>
              </w:tc>
              <w:tc>
                <w:tcPr>
                  <w:tcW w:w="855" w:type="dxa"/>
                  <w:tcBorders>
                    <w:top w:val="single" w:color="auto" w:sz="12" w:space="0"/>
                  </w:tcBorders>
                  <w:noWrap w:val="0"/>
                  <w:vAlign w:val="center"/>
                </w:tcPr>
                <w:p w14:paraId="61E0E617">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18"/>
                      <w:szCs w:val="18"/>
                      <w:highlight w:val="none"/>
                      <w:lang w:val="en-US" w:eastAsia="zh-CN"/>
                    </w:rPr>
                  </w:pPr>
                  <w:r>
                    <w:rPr>
                      <w:rFonts w:hint="eastAsia" w:ascii="Times New Roman" w:hAnsi="Times New Roman" w:eastAsia="宋体" w:cs="Times New Roman"/>
                      <w:b w:val="0"/>
                      <w:bCs w:val="0"/>
                      <w:color w:val="000000"/>
                      <w:sz w:val="18"/>
                      <w:szCs w:val="18"/>
                      <w:highlight w:val="none"/>
                      <w:vertAlign w:val="baseline"/>
                      <w:lang w:val="en-US" w:eastAsia="zh-CN"/>
                    </w:rPr>
                    <w:t>产生量</w:t>
                  </w:r>
                  <w:r>
                    <w:rPr>
                      <w:rFonts w:hint="eastAsia"/>
                      <w:b w:val="0"/>
                      <w:bCs w:val="0"/>
                      <w:sz w:val="18"/>
                      <w:szCs w:val="18"/>
                      <w:highlight w:val="none"/>
                      <w:lang w:val="en-US" w:eastAsia="zh-CN"/>
                    </w:rPr>
                    <w:t>（t/a）</w:t>
                  </w:r>
                </w:p>
              </w:tc>
              <w:tc>
                <w:tcPr>
                  <w:tcW w:w="1170" w:type="dxa"/>
                  <w:tcBorders>
                    <w:top w:val="single" w:color="auto" w:sz="12" w:space="0"/>
                    <w:right w:val="nil"/>
                  </w:tcBorders>
                  <w:noWrap w:val="0"/>
                  <w:vAlign w:val="center"/>
                </w:tcPr>
                <w:p w14:paraId="53168095">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val="0"/>
                      <w:bCs w:val="0"/>
                      <w:color w:val="000000"/>
                      <w:sz w:val="18"/>
                      <w:szCs w:val="18"/>
                      <w:highlight w:val="none"/>
                      <w:vertAlign w:val="baseline"/>
                      <w:lang w:val="en-US" w:eastAsia="zh-CN"/>
                    </w:rPr>
                  </w:pPr>
                  <w:r>
                    <w:rPr>
                      <w:rFonts w:hint="eastAsia" w:ascii="Times New Roman" w:hAnsi="Times New Roman" w:eastAsia="宋体" w:cs="Times New Roman"/>
                      <w:b w:val="0"/>
                      <w:bCs w:val="0"/>
                      <w:color w:val="000000"/>
                      <w:sz w:val="18"/>
                      <w:szCs w:val="18"/>
                      <w:highlight w:val="none"/>
                      <w:vertAlign w:val="baseline"/>
                      <w:lang w:val="en-US" w:eastAsia="zh-CN"/>
                    </w:rPr>
                    <w:t>排放浓度</w:t>
                  </w:r>
                </w:p>
                <w:p w14:paraId="7B9FA8CA">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18"/>
                      <w:szCs w:val="18"/>
                      <w:highlight w:val="none"/>
                      <w:lang w:val="en-US" w:eastAsia="zh-CN"/>
                    </w:rPr>
                  </w:pPr>
                  <w:r>
                    <w:rPr>
                      <w:rFonts w:hint="eastAsia"/>
                      <w:b w:val="0"/>
                      <w:bCs w:val="0"/>
                      <w:sz w:val="18"/>
                      <w:szCs w:val="18"/>
                      <w:highlight w:val="none"/>
                      <w:lang w:val="en-US" w:eastAsia="zh-CN"/>
                    </w:rPr>
                    <w:t>（mg/m</w:t>
                  </w:r>
                  <w:r>
                    <w:rPr>
                      <w:rFonts w:hint="eastAsia"/>
                      <w:b w:val="0"/>
                      <w:bCs w:val="0"/>
                      <w:sz w:val="18"/>
                      <w:szCs w:val="18"/>
                      <w:highlight w:val="none"/>
                      <w:vertAlign w:val="superscript"/>
                      <w:lang w:val="en-US" w:eastAsia="zh-CN"/>
                    </w:rPr>
                    <w:t>3</w:t>
                  </w:r>
                  <w:r>
                    <w:rPr>
                      <w:rFonts w:hint="eastAsia"/>
                      <w:b w:val="0"/>
                      <w:bCs w:val="0"/>
                      <w:sz w:val="18"/>
                      <w:szCs w:val="18"/>
                      <w:highlight w:val="none"/>
                      <w:lang w:val="en-US" w:eastAsia="zh-CN"/>
                    </w:rPr>
                    <w:t>）</w:t>
                  </w:r>
                </w:p>
              </w:tc>
              <w:tc>
                <w:tcPr>
                  <w:tcW w:w="1050" w:type="dxa"/>
                  <w:tcBorders>
                    <w:top w:val="single" w:color="auto" w:sz="12" w:space="0"/>
                    <w:right w:val="nil"/>
                  </w:tcBorders>
                  <w:noWrap w:val="0"/>
                  <w:vAlign w:val="center"/>
                </w:tcPr>
                <w:p w14:paraId="283D8ADE">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val="0"/>
                      <w:bCs w:val="0"/>
                      <w:color w:val="000000"/>
                      <w:sz w:val="18"/>
                      <w:szCs w:val="18"/>
                      <w:highlight w:val="none"/>
                      <w:vertAlign w:val="baseline"/>
                      <w:lang w:val="en-US" w:eastAsia="zh-CN"/>
                    </w:rPr>
                  </w:pPr>
                  <w:r>
                    <w:rPr>
                      <w:rFonts w:hint="eastAsia" w:ascii="Times New Roman" w:hAnsi="Times New Roman" w:eastAsia="宋体" w:cs="Times New Roman"/>
                      <w:b w:val="0"/>
                      <w:bCs w:val="0"/>
                      <w:color w:val="000000"/>
                      <w:sz w:val="18"/>
                      <w:szCs w:val="18"/>
                      <w:highlight w:val="none"/>
                      <w:vertAlign w:val="baseline"/>
                      <w:lang w:val="en-US" w:eastAsia="zh-CN"/>
                    </w:rPr>
                    <w:t>排放速率</w:t>
                  </w:r>
                </w:p>
                <w:p w14:paraId="487DB397">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18"/>
                      <w:szCs w:val="18"/>
                      <w:highlight w:val="none"/>
                      <w:lang w:val="en-US" w:eastAsia="zh-CN"/>
                    </w:rPr>
                  </w:pPr>
                  <w:r>
                    <w:rPr>
                      <w:rFonts w:hint="eastAsia"/>
                      <w:b w:val="0"/>
                      <w:bCs w:val="0"/>
                      <w:sz w:val="18"/>
                      <w:szCs w:val="18"/>
                      <w:highlight w:val="none"/>
                      <w:lang w:val="en-US" w:eastAsia="zh-CN"/>
                    </w:rPr>
                    <w:t>（kg/h）</w:t>
                  </w:r>
                </w:p>
              </w:tc>
              <w:tc>
                <w:tcPr>
                  <w:tcW w:w="958" w:type="dxa"/>
                  <w:tcBorders>
                    <w:top w:val="single" w:color="auto" w:sz="12" w:space="0"/>
                    <w:right w:val="nil"/>
                  </w:tcBorders>
                  <w:noWrap w:val="0"/>
                  <w:vAlign w:val="center"/>
                </w:tcPr>
                <w:p w14:paraId="63A59082">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18"/>
                      <w:szCs w:val="18"/>
                      <w:highlight w:val="none"/>
                      <w:lang w:val="en-US" w:eastAsia="zh-CN"/>
                    </w:rPr>
                  </w:pPr>
                  <w:r>
                    <w:rPr>
                      <w:rFonts w:hint="eastAsia" w:ascii="Times New Roman" w:hAnsi="Times New Roman" w:eastAsia="宋体" w:cs="Times New Roman"/>
                      <w:b w:val="0"/>
                      <w:bCs w:val="0"/>
                      <w:color w:val="000000"/>
                      <w:sz w:val="18"/>
                      <w:szCs w:val="18"/>
                      <w:highlight w:val="none"/>
                      <w:vertAlign w:val="baseline"/>
                      <w:lang w:val="en-US" w:eastAsia="zh-CN"/>
                    </w:rPr>
                    <w:t>排放量</w:t>
                  </w:r>
                  <w:r>
                    <w:rPr>
                      <w:rFonts w:hint="eastAsia"/>
                      <w:b w:val="0"/>
                      <w:bCs w:val="0"/>
                      <w:sz w:val="18"/>
                      <w:szCs w:val="18"/>
                      <w:highlight w:val="none"/>
                      <w:lang w:val="en-US" w:eastAsia="zh-CN"/>
                    </w:rPr>
                    <w:t>（t/a）</w:t>
                  </w:r>
                </w:p>
              </w:tc>
            </w:tr>
            <w:tr w14:paraId="4A81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89" w:type="dxa"/>
                  <w:vMerge w:val="restart"/>
                  <w:tcBorders>
                    <w:left w:val="nil"/>
                    <w:right w:val="single" w:color="auto" w:sz="4" w:space="0"/>
                  </w:tcBorders>
                  <w:noWrap w:val="0"/>
                  <w:vAlign w:val="center"/>
                </w:tcPr>
                <w:p w14:paraId="53E3CAB1">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液化气废气</w:t>
                  </w:r>
                </w:p>
              </w:tc>
              <w:tc>
                <w:tcPr>
                  <w:tcW w:w="995" w:type="dxa"/>
                  <w:vMerge w:val="restart"/>
                  <w:tcBorders>
                    <w:left w:val="single" w:color="auto" w:sz="4" w:space="0"/>
                    <w:right w:val="single" w:color="auto" w:sz="4" w:space="0"/>
                  </w:tcBorders>
                  <w:noWrap w:val="0"/>
                  <w:vAlign w:val="center"/>
                </w:tcPr>
                <w:p w14:paraId="2AD96724">
                  <w:pPr>
                    <w:pStyle w:val="9"/>
                    <w:ind w:left="0" w:leftChars="0" w:firstLine="0" w:firstLineChars="0"/>
                    <w:jc w:val="center"/>
                    <w:rPr>
                      <w:rFonts w:hint="default"/>
                      <w:sz w:val="18"/>
                      <w:szCs w:val="18"/>
                      <w:highlight w:val="none"/>
                      <w:lang w:val="en-US" w:eastAsia="zh-CN"/>
                    </w:rPr>
                  </w:pPr>
                  <w:r>
                    <w:rPr>
                      <w:rFonts w:hint="eastAsia" w:ascii="Times New Roman" w:hAnsi="Times New Roman" w:eastAsia="宋体" w:cs="Times New Roman"/>
                      <w:color w:val="000000"/>
                      <w:sz w:val="18"/>
                      <w:szCs w:val="18"/>
                      <w:highlight w:val="none"/>
                      <w:vertAlign w:val="baseline"/>
                      <w:lang w:val="en-US" w:eastAsia="zh-CN"/>
                    </w:rPr>
                    <w:t>二氧化硫</w:t>
                  </w:r>
                </w:p>
              </w:tc>
              <w:tc>
                <w:tcPr>
                  <w:tcW w:w="837" w:type="dxa"/>
                  <w:tcBorders>
                    <w:left w:val="single" w:color="auto" w:sz="4" w:space="0"/>
                    <w:right w:val="single" w:color="auto" w:sz="4" w:space="0"/>
                  </w:tcBorders>
                  <w:noWrap w:val="0"/>
                  <w:vAlign w:val="center"/>
                </w:tcPr>
                <w:p w14:paraId="2D50455F">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有组织</w:t>
                  </w:r>
                </w:p>
              </w:tc>
              <w:tc>
                <w:tcPr>
                  <w:tcW w:w="1185" w:type="dxa"/>
                  <w:tcBorders>
                    <w:left w:val="single" w:color="auto" w:sz="4" w:space="0"/>
                    <w:right w:val="single" w:color="auto" w:sz="4" w:space="0"/>
                  </w:tcBorders>
                  <w:noWrap w:val="0"/>
                  <w:vAlign w:val="center"/>
                </w:tcPr>
                <w:p w14:paraId="460E1AAD">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46.33</w:t>
                  </w:r>
                </w:p>
              </w:tc>
              <w:tc>
                <w:tcPr>
                  <w:tcW w:w="855" w:type="dxa"/>
                  <w:vMerge w:val="restart"/>
                  <w:tcBorders>
                    <w:left w:val="single" w:color="auto" w:sz="4" w:space="0"/>
                    <w:right w:val="single" w:color="auto" w:sz="4" w:space="0"/>
                  </w:tcBorders>
                  <w:noWrap w:val="0"/>
                  <w:vAlign w:val="center"/>
                </w:tcPr>
                <w:p w14:paraId="6B6EF8E7">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0.0110</w:t>
                  </w:r>
                </w:p>
              </w:tc>
              <w:tc>
                <w:tcPr>
                  <w:tcW w:w="1170" w:type="dxa"/>
                  <w:tcBorders>
                    <w:left w:val="single" w:color="auto" w:sz="4" w:space="0"/>
                    <w:right w:val="single" w:color="auto" w:sz="4" w:space="0"/>
                  </w:tcBorders>
                  <w:noWrap w:val="0"/>
                  <w:vAlign w:val="center"/>
                </w:tcPr>
                <w:p w14:paraId="7DA74644">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18.6</w:t>
                  </w:r>
                </w:p>
              </w:tc>
              <w:tc>
                <w:tcPr>
                  <w:tcW w:w="1050" w:type="dxa"/>
                  <w:tcBorders>
                    <w:left w:val="single" w:color="auto" w:sz="4" w:space="0"/>
                    <w:right w:val="single" w:color="auto" w:sz="4" w:space="0"/>
                  </w:tcBorders>
                  <w:noWrap w:val="0"/>
                  <w:vAlign w:val="center"/>
                </w:tcPr>
                <w:p w14:paraId="18DD91CB">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0.0024</w:t>
                  </w:r>
                </w:p>
              </w:tc>
              <w:tc>
                <w:tcPr>
                  <w:tcW w:w="958" w:type="dxa"/>
                  <w:tcBorders>
                    <w:left w:val="single" w:color="auto" w:sz="4" w:space="0"/>
                    <w:right w:val="nil"/>
                  </w:tcBorders>
                  <w:noWrap w:val="0"/>
                  <w:vAlign w:val="center"/>
                </w:tcPr>
                <w:p w14:paraId="1AC49C0A">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0.0088</w:t>
                  </w:r>
                </w:p>
              </w:tc>
            </w:tr>
            <w:tr w14:paraId="1130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89" w:type="dxa"/>
                  <w:vMerge w:val="continue"/>
                  <w:tcBorders>
                    <w:left w:val="nil"/>
                    <w:right w:val="single" w:color="auto" w:sz="4" w:space="0"/>
                  </w:tcBorders>
                  <w:noWrap w:val="0"/>
                  <w:vAlign w:val="center"/>
                </w:tcPr>
                <w:p w14:paraId="28D1FA29">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p>
              </w:tc>
              <w:tc>
                <w:tcPr>
                  <w:tcW w:w="995" w:type="dxa"/>
                  <w:vMerge w:val="continue"/>
                  <w:tcBorders>
                    <w:left w:val="single" w:color="auto" w:sz="4" w:space="0"/>
                    <w:right w:val="single" w:color="auto" w:sz="4" w:space="0"/>
                  </w:tcBorders>
                  <w:noWrap w:val="0"/>
                  <w:vAlign w:val="center"/>
                </w:tcPr>
                <w:p w14:paraId="6CD15A03">
                  <w:pPr>
                    <w:pStyle w:val="9"/>
                    <w:ind w:left="0" w:leftChars="0" w:firstLine="0" w:firstLineChars="0"/>
                    <w:jc w:val="center"/>
                    <w:rPr>
                      <w:rFonts w:hint="eastAsia" w:ascii="Times New Roman" w:hAnsi="Times New Roman" w:eastAsia="宋体" w:cs="Times New Roman"/>
                      <w:color w:val="000000"/>
                      <w:sz w:val="18"/>
                      <w:szCs w:val="18"/>
                      <w:highlight w:val="none"/>
                      <w:vertAlign w:val="baseline"/>
                      <w:lang w:val="en-US" w:eastAsia="zh-CN"/>
                    </w:rPr>
                  </w:pPr>
                </w:p>
              </w:tc>
              <w:tc>
                <w:tcPr>
                  <w:tcW w:w="837" w:type="dxa"/>
                  <w:tcBorders>
                    <w:left w:val="single" w:color="auto" w:sz="4" w:space="0"/>
                    <w:right w:val="single" w:color="auto" w:sz="4" w:space="0"/>
                  </w:tcBorders>
                  <w:noWrap w:val="0"/>
                  <w:vAlign w:val="center"/>
                </w:tcPr>
                <w:p w14:paraId="4AE2A82F">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无组织</w:t>
                  </w:r>
                </w:p>
              </w:tc>
              <w:tc>
                <w:tcPr>
                  <w:tcW w:w="1185" w:type="dxa"/>
                  <w:tcBorders>
                    <w:left w:val="single" w:color="auto" w:sz="4" w:space="0"/>
                    <w:right w:val="single" w:color="auto" w:sz="4" w:space="0"/>
                  </w:tcBorders>
                  <w:noWrap w:val="0"/>
                  <w:vAlign w:val="center"/>
                </w:tcPr>
                <w:p w14:paraId="0D8FB22A">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w:t>
                  </w:r>
                </w:p>
              </w:tc>
              <w:tc>
                <w:tcPr>
                  <w:tcW w:w="855" w:type="dxa"/>
                  <w:vMerge w:val="continue"/>
                  <w:tcBorders>
                    <w:left w:val="single" w:color="auto" w:sz="4" w:space="0"/>
                    <w:right w:val="single" w:color="auto" w:sz="4" w:space="0"/>
                  </w:tcBorders>
                  <w:noWrap w:val="0"/>
                  <w:vAlign w:val="center"/>
                </w:tcPr>
                <w:p w14:paraId="29C05E41">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cs="Times New Roman"/>
                      <w:color w:val="000000"/>
                      <w:sz w:val="18"/>
                      <w:szCs w:val="18"/>
                      <w:highlight w:val="none"/>
                      <w:vertAlign w:val="baseline"/>
                      <w:lang w:val="en-US" w:eastAsia="zh-CN"/>
                    </w:rPr>
                  </w:pPr>
                </w:p>
              </w:tc>
              <w:tc>
                <w:tcPr>
                  <w:tcW w:w="1170" w:type="dxa"/>
                  <w:tcBorders>
                    <w:left w:val="single" w:color="auto" w:sz="4" w:space="0"/>
                    <w:right w:val="single" w:color="auto" w:sz="4" w:space="0"/>
                  </w:tcBorders>
                  <w:noWrap w:val="0"/>
                  <w:vAlign w:val="center"/>
                </w:tcPr>
                <w:p w14:paraId="4B6BD474">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w:t>
                  </w:r>
                </w:p>
              </w:tc>
              <w:tc>
                <w:tcPr>
                  <w:tcW w:w="1050" w:type="dxa"/>
                  <w:tcBorders>
                    <w:left w:val="single" w:color="auto" w:sz="4" w:space="0"/>
                    <w:right w:val="single" w:color="auto" w:sz="4" w:space="0"/>
                  </w:tcBorders>
                  <w:noWrap w:val="0"/>
                  <w:vAlign w:val="center"/>
                </w:tcPr>
                <w:p w14:paraId="50F85D9A">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0.0006</w:t>
                  </w:r>
                </w:p>
              </w:tc>
              <w:tc>
                <w:tcPr>
                  <w:tcW w:w="958" w:type="dxa"/>
                  <w:tcBorders>
                    <w:left w:val="single" w:color="auto" w:sz="4" w:space="0"/>
                    <w:right w:val="nil"/>
                  </w:tcBorders>
                  <w:noWrap w:val="0"/>
                  <w:vAlign w:val="center"/>
                </w:tcPr>
                <w:p w14:paraId="4418C002">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0.0022</w:t>
                  </w:r>
                </w:p>
              </w:tc>
            </w:tr>
            <w:tr w14:paraId="36C5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89" w:type="dxa"/>
                  <w:vMerge w:val="continue"/>
                  <w:tcBorders>
                    <w:left w:val="nil"/>
                    <w:right w:val="single" w:color="auto" w:sz="4" w:space="0"/>
                  </w:tcBorders>
                  <w:noWrap w:val="0"/>
                  <w:vAlign w:val="center"/>
                </w:tcPr>
                <w:p w14:paraId="0CF676ED">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p>
              </w:tc>
              <w:tc>
                <w:tcPr>
                  <w:tcW w:w="995" w:type="dxa"/>
                  <w:vMerge w:val="restart"/>
                  <w:tcBorders>
                    <w:left w:val="single" w:color="auto" w:sz="4" w:space="0"/>
                    <w:right w:val="single" w:color="auto" w:sz="4" w:space="0"/>
                  </w:tcBorders>
                  <w:noWrap w:val="0"/>
                  <w:vAlign w:val="center"/>
                </w:tcPr>
                <w:p w14:paraId="22815EE3">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氮氧化物</w:t>
                  </w:r>
                </w:p>
              </w:tc>
              <w:tc>
                <w:tcPr>
                  <w:tcW w:w="837" w:type="dxa"/>
                  <w:tcBorders>
                    <w:left w:val="single" w:color="auto" w:sz="4" w:space="0"/>
                    <w:right w:val="single" w:color="auto" w:sz="4" w:space="0"/>
                  </w:tcBorders>
                  <w:noWrap w:val="0"/>
                  <w:vAlign w:val="center"/>
                </w:tcPr>
                <w:p w14:paraId="58C4EE9C">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有组织</w:t>
                  </w:r>
                </w:p>
              </w:tc>
              <w:tc>
                <w:tcPr>
                  <w:tcW w:w="1185" w:type="dxa"/>
                  <w:tcBorders>
                    <w:left w:val="single" w:color="auto" w:sz="4" w:space="0"/>
                    <w:right w:val="single" w:color="auto" w:sz="4" w:space="0"/>
                  </w:tcBorders>
                  <w:noWrap w:val="0"/>
                  <w:vAlign w:val="center"/>
                </w:tcPr>
                <w:p w14:paraId="10434A06">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46.33</w:t>
                  </w:r>
                </w:p>
              </w:tc>
              <w:tc>
                <w:tcPr>
                  <w:tcW w:w="855" w:type="dxa"/>
                  <w:vMerge w:val="restart"/>
                  <w:tcBorders>
                    <w:left w:val="single" w:color="auto" w:sz="4" w:space="0"/>
                    <w:right w:val="single" w:color="auto" w:sz="4" w:space="0"/>
                  </w:tcBorders>
                  <w:noWrap w:val="0"/>
                  <w:vAlign w:val="center"/>
                </w:tcPr>
                <w:p w14:paraId="3C0AEEED">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0.0963</w:t>
                  </w:r>
                </w:p>
              </w:tc>
              <w:tc>
                <w:tcPr>
                  <w:tcW w:w="1170" w:type="dxa"/>
                  <w:tcBorders>
                    <w:left w:val="single" w:color="auto" w:sz="4" w:space="0"/>
                    <w:right w:val="single" w:color="auto" w:sz="4" w:space="0"/>
                  </w:tcBorders>
                  <w:noWrap w:val="0"/>
                  <w:vAlign w:val="center"/>
                </w:tcPr>
                <w:p w14:paraId="72A2BA08">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166.3</w:t>
                  </w:r>
                </w:p>
              </w:tc>
              <w:tc>
                <w:tcPr>
                  <w:tcW w:w="1050" w:type="dxa"/>
                  <w:tcBorders>
                    <w:left w:val="single" w:color="auto" w:sz="4" w:space="0"/>
                    <w:right w:val="single" w:color="auto" w:sz="4" w:space="0"/>
                  </w:tcBorders>
                  <w:noWrap w:val="0"/>
                  <w:vAlign w:val="center"/>
                </w:tcPr>
                <w:p w14:paraId="2C692D5E">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0.0214</w:t>
                  </w:r>
                </w:p>
              </w:tc>
              <w:tc>
                <w:tcPr>
                  <w:tcW w:w="958" w:type="dxa"/>
                  <w:tcBorders>
                    <w:left w:val="single" w:color="auto" w:sz="4" w:space="0"/>
                    <w:right w:val="nil"/>
                  </w:tcBorders>
                  <w:noWrap w:val="0"/>
                  <w:vAlign w:val="center"/>
                </w:tcPr>
                <w:p w14:paraId="660EC7E0">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0.077</w:t>
                  </w:r>
                </w:p>
              </w:tc>
            </w:tr>
            <w:tr w14:paraId="70DB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89" w:type="dxa"/>
                  <w:vMerge w:val="continue"/>
                  <w:tcBorders>
                    <w:left w:val="nil"/>
                    <w:right w:val="single" w:color="auto" w:sz="4" w:space="0"/>
                  </w:tcBorders>
                  <w:noWrap w:val="0"/>
                  <w:vAlign w:val="center"/>
                </w:tcPr>
                <w:p w14:paraId="115DCDDB">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p>
              </w:tc>
              <w:tc>
                <w:tcPr>
                  <w:tcW w:w="995" w:type="dxa"/>
                  <w:vMerge w:val="continue"/>
                  <w:tcBorders>
                    <w:left w:val="single" w:color="auto" w:sz="4" w:space="0"/>
                    <w:right w:val="single" w:color="auto" w:sz="4" w:space="0"/>
                  </w:tcBorders>
                  <w:noWrap w:val="0"/>
                  <w:vAlign w:val="center"/>
                </w:tcPr>
                <w:p w14:paraId="7B0D92C7">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p>
              </w:tc>
              <w:tc>
                <w:tcPr>
                  <w:tcW w:w="837" w:type="dxa"/>
                  <w:tcBorders>
                    <w:left w:val="single" w:color="auto" w:sz="4" w:space="0"/>
                    <w:right w:val="single" w:color="auto" w:sz="4" w:space="0"/>
                  </w:tcBorders>
                  <w:noWrap w:val="0"/>
                  <w:vAlign w:val="center"/>
                </w:tcPr>
                <w:p w14:paraId="7138929D">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无组织</w:t>
                  </w:r>
                </w:p>
              </w:tc>
              <w:tc>
                <w:tcPr>
                  <w:tcW w:w="1185" w:type="dxa"/>
                  <w:tcBorders>
                    <w:left w:val="single" w:color="auto" w:sz="4" w:space="0"/>
                    <w:right w:val="single" w:color="auto" w:sz="4" w:space="0"/>
                  </w:tcBorders>
                  <w:noWrap w:val="0"/>
                  <w:vAlign w:val="center"/>
                </w:tcPr>
                <w:p w14:paraId="36905A72">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w:t>
                  </w:r>
                </w:p>
              </w:tc>
              <w:tc>
                <w:tcPr>
                  <w:tcW w:w="855" w:type="dxa"/>
                  <w:vMerge w:val="continue"/>
                  <w:tcBorders>
                    <w:left w:val="single" w:color="auto" w:sz="4" w:space="0"/>
                    <w:right w:val="single" w:color="auto" w:sz="4" w:space="0"/>
                  </w:tcBorders>
                  <w:noWrap w:val="0"/>
                  <w:vAlign w:val="center"/>
                </w:tcPr>
                <w:p w14:paraId="1C685BAA">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cs="Times New Roman"/>
                      <w:color w:val="000000"/>
                      <w:sz w:val="18"/>
                      <w:szCs w:val="18"/>
                      <w:highlight w:val="none"/>
                      <w:vertAlign w:val="baseline"/>
                      <w:lang w:val="en-US" w:eastAsia="zh-CN"/>
                    </w:rPr>
                  </w:pPr>
                </w:p>
              </w:tc>
              <w:tc>
                <w:tcPr>
                  <w:tcW w:w="1170" w:type="dxa"/>
                  <w:tcBorders>
                    <w:left w:val="single" w:color="auto" w:sz="4" w:space="0"/>
                    <w:right w:val="single" w:color="auto" w:sz="4" w:space="0"/>
                  </w:tcBorders>
                  <w:noWrap w:val="0"/>
                  <w:vAlign w:val="center"/>
                </w:tcPr>
                <w:p w14:paraId="6689A9D3">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w:t>
                  </w:r>
                </w:p>
              </w:tc>
              <w:tc>
                <w:tcPr>
                  <w:tcW w:w="1050" w:type="dxa"/>
                  <w:tcBorders>
                    <w:left w:val="single" w:color="auto" w:sz="4" w:space="0"/>
                    <w:right w:val="single" w:color="auto" w:sz="4" w:space="0"/>
                  </w:tcBorders>
                  <w:noWrap w:val="0"/>
                  <w:vAlign w:val="center"/>
                </w:tcPr>
                <w:p w14:paraId="3023E65D">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0.0053</w:t>
                  </w:r>
                </w:p>
              </w:tc>
              <w:tc>
                <w:tcPr>
                  <w:tcW w:w="958" w:type="dxa"/>
                  <w:tcBorders>
                    <w:left w:val="single" w:color="auto" w:sz="4" w:space="0"/>
                    <w:right w:val="nil"/>
                  </w:tcBorders>
                  <w:noWrap w:val="0"/>
                  <w:vAlign w:val="center"/>
                </w:tcPr>
                <w:p w14:paraId="787058B9">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0.0193</w:t>
                  </w:r>
                </w:p>
              </w:tc>
            </w:tr>
            <w:tr w14:paraId="6A04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89" w:type="dxa"/>
                  <w:vMerge w:val="continue"/>
                  <w:tcBorders>
                    <w:left w:val="nil"/>
                    <w:right w:val="single" w:color="auto" w:sz="4" w:space="0"/>
                  </w:tcBorders>
                  <w:noWrap w:val="0"/>
                  <w:vAlign w:val="center"/>
                </w:tcPr>
                <w:p w14:paraId="5998D8B3">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p>
              </w:tc>
              <w:tc>
                <w:tcPr>
                  <w:tcW w:w="995" w:type="dxa"/>
                  <w:vMerge w:val="restart"/>
                  <w:tcBorders>
                    <w:left w:val="single" w:color="auto" w:sz="4" w:space="0"/>
                    <w:right w:val="single" w:color="auto" w:sz="4" w:space="0"/>
                  </w:tcBorders>
                  <w:noWrap w:val="0"/>
                  <w:vAlign w:val="center"/>
                </w:tcPr>
                <w:p w14:paraId="21C49583">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颗粒物</w:t>
                  </w:r>
                </w:p>
              </w:tc>
              <w:tc>
                <w:tcPr>
                  <w:tcW w:w="837" w:type="dxa"/>
                  <w:tcBorders>
                    <w:left w:val="single" w:color="auto" w:sz="4" w:space="0"/>
                    <w:right w:val="single" w:color="auto" w:sz="4" w:space="0"/>
                  </w:tcBorders>
                  <w:noWrap w:val="0"/>
                  <w:vAlign w:val="center"/>
                </w:tcPr>
                <w:p w14:paraId="4EE0426E">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有组织</w:t>
                  </w:r>
                </w:p>
              </w:tc>
              <w:tc>
                <w:tcPr>
                  <w:tcW w:w="1185" w:type="dxa"/>
                  <w:tcBorders>
                    <w:left w:val="single" w:color="auto" w:sz="4" w:space="0"/>
                    <w:right w:val="single" w:color="auto" w:sz="4" w:space="0"/>
                  </w:tcBorders>
                  <w:noWrap w:val="0"/>
                  <w:vAlign w:val="center"/>
                </w:tcPr>
                <w:p w14:paraId="1A5F5A98">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46.33</w:t>
                  </w:r>
                </w:p>
              </w:tc>
              <w:tc>
                <w:tcPr>
                  <w:tcW w:w="855" w:type="dxa"/>
                  <w:vMerge w:val="restart"/>
                  <w:tcBorders>
                    <w:left w:val="single" w:color="auto" w:sz="4" w:space="0"/>
                    <w:right w:val="single" w:color="auto" w:sz="4" w:space="0"/>
                  </w:tcBorders>
                  <w:noWrap w:val="0"/>
                  <w:vAlign w:val="center"/>
                </w:tcPr>
                <w:p w14:paraId="4A3F5F3A">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0.0043</w:t>
                  </w:r>
                </w:p>
              </w:tc>
              <w:tc>
                <w:tcPr>
                  <w:tcW w:w="1170" w:type="dxa"/>
                  <w:tcBorders>
                    <w:left w:val="single" w:color="auto" w:sz="4" w:space="0"/>
                    <w:right w:val="single" w:color="auto" w:sz="4" w:space="0"/>
                  </w:tcBorders>
                  <w:noWrap w:val="0"/>
                  <w:vAlign w:val="center"/>
                </w:tcPr>
                <w:p w14:paraId="6A450370">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7.8</w:t>
                  </w:r>
                </w:p>
              </w:tc>
              <w:tc>
                <w:tcPr>
                  <w:tcW w:w="1050" w:type="dxa"/>
                  <w:tcBorders>
                    <w:left w:val="single" w:color="auto" w:sz="4" w:space="0"/>
                    <w:right w:val="single" w:color="auto" w:sz="4" w:space="0"/>
                  </w:tcBorders>
                  <w:noWrap w:val="0"/>
                  <w:vAlign w:val="center"/>
                </w:tcPr>
                <w:p w14:paraId="2E7A05E1">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0.001</w:t>
                  </w:r>
                </w:p>
              </w:tc>
              <w:tc>
                <w:tcPr>
                  <w:tcW w:w="958" w:type="dxa"/>
                  <w:tcBorders>
                    <w:left w:val="single" w:color="auto" w:sz="4" w:space="0"/>
                    <w:right w:val="nil"/>
                  </w:tcBorders>
                  <w:noWrap w:val="0"/>
                  <w:vAlign w:val="center"/>
                </w:tcPr>
                <w:p w14:paraId="738FCD95">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0.00344</w:t>
                  </w:r>
                </w:p>
              </w:tc>
            </w:tr>
            <w:tr w14:paraId="58F5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89" w:type="dxa"/>
                  <w:vMerge w:val="continue"/>
                  <w:tcBorders>
                    <w:left w:val="nil"/>
                    <w:bottom w:val="single" w:color="auto" w:sz="12" w:space="0"/>
                    <w:right w:val="single" w:color="auto" w:sz="4" w:space="0"/>
                  </w:tcBorders>
                  <w:noWrap w:val="0"/>
                  <w:vAlign w:val="center"/>
                </w:tcPr>
                <w:p w14:paraId="3239E9A2">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p>
              </w:tc>
              <w:tc>
                <w:tcPr>
                  <w:tcW w:w="995" w:type="dxa"/>
                  <w:vMerge w:val="continue"/>
                  <w:tcBorders>
                    <w:left w:val="single" w:color="auto" w:sz="4" w:space="0"/>
                    <w:bottom w:val="single" w:color="auto" w:sz="12" w:space="0"/>
                    <w:right w:val="single" w:color="auto" w:sz="4" w:space="0"/>
                  </w:tcBorders>
                  <w:noWrap w:val="0"/>
                  <w:vAlign w:val="center"/>
                </w:tcPr>
                <w:p w14:paraId="4C8316DD">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p>
              </w:tc>
              <w:tc>
                <w:tcPr>
                  <w:tcW w:w="837" w:type="dxa"/>
                  <w:tcBorders>
                    <w:left w:val="single" w:color="auto" w:sz="4" w:space="0"/>
                    <w:bottom w:val="single" w:color="auto" w:sz="12" w:space="0"/>
                    <w:right w:val="single" w:color="auto" w:sz="4" w:space="0"/>
                  </w:tcBorders>
                  <w:noWrap w:val="0"/>
                  <w:vAlign w:val="center"/>
                </w:tcPr>
                <w:p w14:paraId="282ACEFE">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无组织</w:t>
                  </w:r>
                </w:p>
              </w:tc>
              <w:tc>
                <w:tcPr>
                  <w:tcW w:w="1185" w:type="dxa"/>
                  <w:tcBorders>
                    <w:left w:val="single" w:color="auto" w:sz="4" w:space="0"/>
                    <w:bottom w:val="single" w:color="auto" w:sz="12" w:space="0"/>
                    <w:right w:val="single" w:color="auto" w:sz="4" w:space="0"/>
                  </w:tcBorders>
                  <w:noWrap w:val="0"/>
                  <w:vAlign w:val="center"/>
                </w:tcPr>
                <w:p w14:paraId="56CB7036">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w:t>
                  </w:r>
                </w:p>
              </w:tc>
              <w:tc>
                <w:tcPr>
                  <w:tcW w:w="855" w:type="dxa"/>
                  <w:vMerge w:val="continue"/>
                  <w:tcBorders>
                    <w:left w:val="single" w:color="auto" w:sz="4" w:space="0"/>
                    <w:bottom w:val="single" w:color="auto" w:sz="12" w:space="0"/>
                    <w:right w:val="single" w:color="auto" w:sz="4" w:space="0"/>
                  </w:tcBorders>
                  <w:noWrap w:val="0"/>
                  <w:vAlign w:val="center"/>
                </w:tcPr>
                <w:p w14:paraId="57141ED7">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cs="Times New Roman"/>
                      <w:color w:val="000000"/>
                      <w:sz w:val="18"/>
                      <w:szCs w:val="18"/>
                      <w:highlight w:val="none"/>
                      <w:vertAlign w:val="baseline"/>
                      <w:lang w:val="en-US" w:eastAsia="zh-CN"/>
                    </w:rPr>
                  </w:pPr>
                </w:p>
              </w:tc>
              <w:tc>
                <w:tcPr>
                  <w:tcW w:w="1170" w:type="dxa"/>
                  <w:tcBorders>
                    <w:left w:val="single" w:color="auto" w:sz="4" w:space="0"/>
                    <w:bottom w:val="single" w:color="auto" w:sz="12" w:space="0"/>
                    <w:right w:val="single" w:color="auto" w:sz="4" w:space="0"/>
                  </w:tcBorders>
                  <w:noWrap w:val="0"/>
                  <w:vAlign w:val="center"/>
                </w:tcPr>
                <w:p w14:paraId="0D02042A">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w:t>
                  </w:r>
                </w:p>
              </w:tc>
              <w:tc>
                <w:tcPr>
                  <w:tcW w:w="1050" w:type="dxa"/>
                  <w:tcBorders>
                    <w:left w:val="single" w:color="auto" w:sz="4" w:space="0"/>
                    <w:bottom w:val="single" w:color="auto" w:sz="12" w:space="0"/>
                    <w:right w:val="single" w:color="auto" w:sz="4" w:space="0"/>
                  </w:tcBorders>
                  <w:noWrap w:val="0"/>
                  <w:vAlign w:val="center"/>
                </w:tcPr>
                <w:p w14:paraId="7B4FCE93">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0.0002</w:t>
                  </w:r>
                </w:p>
              </w:tc>
              <w:tc>
                <w:tcPr>
                  <w:tcW w:w="958" w:type="dxa"/>
                  <w:tcBorders>
                    <w:left w:val="single" w:color="auto" w:sz="4" w:space="0"/>
                    <w:bottom w:val="single" w:color="auto" w:sz="12" w:space="0"/>
                    <w:right w:val="nil"/>
                  </w:tcBorders>
                  <w:noWrap w:val="0"/>
                  <w:vAlign w:val="center"/>
                </w:tcPr>
                <w:p w14:paraId="04BF47E7">
                  <w:pPr>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0.00086</w:t>
                  </w:r>
                </w:p>
              </w:tc>
            </w:tr>
          </w:tbl>
          <w:p w14:paraId="19B31E26">
            <w:pPr>
              <w:snapToGrid w:val="0"/>
              <w:spacing w:before="157" w:beforeLines="50" w:line="360" w:lineRule="auto"/>
              <w:ind w:firstLine="480" w:firstLineChars="200"/>
              <w:jc w:val="both"/>
              <w:outlineLvl w:val="2"/>
              <w:rPr>
                <w:rFonts w:hint="default" w:ascii="Times New Roman" w:hAnsi="Times New Roman" w:cs="Times New Roman"/>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w:t>
            </w:r>
            <w:r>
              <w:rPr>
                <w:rFonts w:hint="eastAsia" w:cs="Times New Roman"/>
                <w:b w:val="0"/>
                <w:bCs w:val="0"/>
                <w:color w:val="000000"/>
                <w:sz w:val="24"/>
                <w:szCs w:val="24"/>
                <w:highlight w:val="none"/>
                <w:lang w:val="en-US" w:eastAsia="zh-CN"/>
              </w:rPr>
              <w:t>2</w:t>
            </w:r>
            <w:r>
              <w:rPr>
                <w:rFonts w:hint="default" w:ascii="Times New Roman" w:hAnsi="Times New Roman" w:eastAsia="宋体" w:cs="Times New Roman"/>
                <w:b w:val="0"/>
                <w:bCs w:val="0"/>
                <w:color w:val="000000"/>
                <w:sz w:val="24"/>
                <w:szCs w:val="24"/>
                <w:highlight w:val="none"/>
                <w:lang w:val="en-US" w:eastAsia="zh-CN"/>
              </w:rPr>
              <w:t>）</w:t>
            </w:r>
            <w:r>
              <w:rPr>
                <w:rFonts w:hint="eastAsia" w:ascii="Times New Roman" w:hAnsi="Times New Roman" w:eastAsia="宋体" w:cs="Times New Roman"/>
                <w:b w:val="0"/>
                <w:bCs w:val="0"/>
                <w:color w:val="000000"/>
                <w:sz w:val="24"/>
                <w:szCs w:val="24"/>
                <w:highlight w:val="none"/>
                <w:lang w:val="en-US" w:eastAsia="zh-CN"/>
              </w:rPr>
              <w:t>制版过程废气</w:t>
            </w:r>
          </w:p>
          <w:p w14:paraId="478C3C31">
            <w:pPr>
              <w:snapToGrid w:val="0"/>
              <w:spacing w:line="360" w:lineRule="auto"/>
              <w:ind w:firstLine="480" w:firstLineChars="200"/>
              <w:jc w:val="both"/>
              <w:outlineLvl w:val="2"/>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项目制版过程使用感光胶，制版涂胶及</w:t>
            </w:r>
            <w:r>
              <w:rPr>
                <w:rFonts w:hint="eastAsia" w:cs="Times New Roman"/>
                <w:b w:val="0"/>
                <w:bCs w:val="0"/>
                <w:color w:val="000000"/>
                <w:sz w:val="24"/>
                <w:szCs w:val="24"/>
                <w:highlight w:val="none"/>
                <w:lang w:val="en-US" w:eastAsia="zh-CN"/>
              </w:rPr>
              <w:t>晒</w:t>
            </w:r>
            <w:r>
              <w:rPr>
                <w:rFonts w:hint="default" w:ascii="Times New Roman" w:hAnsi="Times New Roman" w:eastAsia="宋体" w:cs="Times New Roman"/>
                <w:b w:val="0"/>
                <w:bCs w:val="0"/>
                <w:color w:val="000000"/>
                <w:sz w:val="24"/>
                <w:szCs w:val="24"/>
                <w:highlight w:val="none"/>
                <w:lang w:val="en-US" w:eastAsia="zh-CN"/>
              </w:rPr>
              <w:t>版过程会产生有机废气(主要为非甲烷总烃)。感光胶主要成分为水、聚丙烯酸酯共聚物、助剂，均不含易挥发的有机溶剂，但其使用过程中仍会有轻微气味产生，主要为</w:t>
            </w:r>
            <w:r>
              <w:rPr>
                <w:rFonts w:hint="eastAsia" w:cs="Times New Roman"/>
                <w:b w:val="0"/>
                <w:bCs w:val="0"/>
                <w:color w:val="000000"/>
                <w:sz w:val="24"/>
                <w:szCs w:val="24"/>
                <w:highlight w:val="none"/>
                <w:lang w:val="en-US" w:eastAsia="zh-CN"/>
              </w:rPr>
              <w:t>聚乙酸乙烯脂和醋酸乙烯酯与乙烯醇的聚合物</w:t>
            </w:r>
            <w:r>
              <w:rPr>
                <w:rFonts w:hint="default" w:ascii="Times New Roman" w:hAnsi="Times New Roman" w:eastAsia="宋体" w:cs="Times New Roman"/>
                <w:b w:val="0"/>
                <w:bCs w:val="0"/>
                <w:color w:val="000000"/>
                <w:sz w:val="24"/>
                <w:szCs w:val="24"/>
                <w:highlight w:val="none"/>
                <w:lang w:val="en-US" w:eastAsia="zh-CN"/>
              </w:rPr>
              <w:t>中未聚合的极少量单质挥发产生，未聚合的单质按</w:t>
            </w:r>
            <w:r>
              <w:rPr>
                <w:rFonts w:hint="eastAsia" w:ascii="Times New Roman" w:hAnsi="Times New Roman" w:eastAsia="宋体" w:cs="Times New Roman"/>
                <w:b w:val="0"/>
                <w:bCs w:val="0"/>
                <w:color w:val="000000"/>
                <w:sz w:val="24"/>
                <w:szCs w:val="24"/>
                <w:highlight w:val="none"/>
                <w:lang w:val="en-US" w:eastAsia="zh-CN"/>
              </w:rPr>
              <w:t>树脂5</w:t>
            </w:r>
            <w:r>
              <w:rPr>
                <w:rFonts w:hint="default" w:ascii="Times New Roman" w:hAnsi="Times New Roman" w:eastAsia="宋体" w:cs="Times New Roman"/>
                <w:b w:val="0"/>
                <w:bCs w:val="0"/>
                <w:color w:val="000000"/>
                <w:sz w:val="24"/>
                <w:szCs w:val="24"/>
                <w:highlight w:val="none"/>
                <w:lang w:val="en-US" w:eastAsia="zh-CN"/>
              </w:rPr>
              <w:t>%计，本项目感光胶</w:t>
            </w:r>
            <w:r>
              <w:rPr>
                <w:rFonts w:hint="eastAsia" w:ascii="Times New Roman" w:hAnsi="Times New Roman" w:eastAsia="宋体" w:cs="Times New Roman"/>
                <w:b w:val="0"/>
                <w:bCs w:val="0"/>
                <w:color w:val="000000"/>
                <w:sz w:val="24"/>
                <w:szCs w:val="24"/>
                <w:highlight w:val="none"/>
                <w:lang w:val="en-US" w:eastAsia="zh-CN"/>
              </w:rPr>
              <w:t>中共聚物</w:t>
            </w:r>
            <w:r>
              <w:rPr>
                <w:rFonts w:hint="default" w:ascii="Times New Roman" w:hAnsi="Times New Roman" w:eastAsia="宋体" w:cs="Times New Roman"/>
                <w:b w:val="0"/>
                <w:bCs w:val="0"/>
                <w:color w:val="000000"/>
                <w:sz w:val="24"/>
                <w:szCs w:val="24"/>
                <w:highlight w:val="none"/>
                <w:lang w:val="en-US" w:eastAsia="zh-CN"/>
              </w:rPr>
              <w:t>按</w:t>
            </w:r>
            <w:r>
              <w:rPr>
                <w:rFonts w:hint="eastAsia" w:ascii="Times New Roman" w:hAnsi="Times New Roman" w:eastAsia="宋体" w:cs="Times New Roman"/>
                <w:b w:val="0"/>
                <w:bCs w:val="0"/>
                <w:color w:val="000000"/>
                <w:sz w:val="24"/>
                <w:szCs w:val="24"/>
                <w:highlight w:val="none"/>
                <w:lang w:val="en-US" w:eastAsia="zh-CN"/>
              </w:rPr>
              <w:t>45</w:t>
            </w:r>
            <w:r>
              <w:rPr>
                <w:rFonts w:hint="default" w:ascii="Times New Roman" w:hAnsi="Times New Roman" w:eastAsia="宋体" w:cs="Times New Roman"/>
                <w:b w:val="0"/>
                <w:bCs w:val="0"/>
                <w:color w:val="000000"/>
                <w:sz w:val="24"/>
                <w:szCs w:val="24"/>
                <w:highlight w:val="none"/>
                <w:lang w:val="en-US" w:eastAsia="zh-CN"/>
              </w:rPr>
              <w:t>%计，则水性感光胶中挥发性有机物为</w:t>
            </w:r>
            <w:r>
              <w:rPr>
                <w:rFonts w:hint="eastAsia" w:ascii="Times New Roman" w:hAnsi="Times New Roman" w:eastAsia="宋体" w:cs="Times New Roman"/>
                <w:b w:val="0"/>
                <w:bCs w:val="0"/>
                <w:color w:val="000000"/>
                <w:sz w:val="24"/>
                <w:szCs w:val="24"/>
                <w:highlight w:val="none"/>
                <w:lang w:val="en-US" w:eastAsia="zh-CN"/>
              </w:rPr>
              <w:t>2.25</w:t>
            </w:r>
            <w:r>
              <w:rPr>
                <w:rFonts w:hint="default" w:ascii="Times New Roman" w:hAnsi="Times New Roman" w:eastAsia="宋体" w:cs="Times New Roman"/>
                <w:b w:val="0"/>
                <w:bCs w:val="0"/>
                <w:color w:val="000000"/>
                <w:sz w:val="24"/>
                <w:szCs w:val="24"/>
                <w:highlight w:val="none"/>
                <w:lang w:val="en-US" w:eastAsia="zh-CN"/>
              </w:rPr>
              <w:t>%，根据企业提供资料，项目水性感光胶使用量为</w:t>
            </w:r>
            <w:r>
              <w:rPr>
                <w:rFonts w:hint="eastAsia" w:ascii="Times New Roman" w:hAnsi="Times New Roman" w:eastAsia="宋体" w:cs="Times New Roman"/>
                <w:b w:val="0"/>
                <w:bCs w:val="0"/>
                <w:color w:val="000000"/>
                <w:sz w:val="24"/>
                <w:szCs w:val="24"/>
                <w:highlight w:val="none"/>
                <w:lang w:val="en-US" w:eastAsia="zh-CN"/>
              </w:rPr>
              <w:t>1</w:t>
            </w:r>
            <w:r>
              <w:rPr>
                <w:rFonts w:hint="default" w:ascii="Times New Roman" w:hAnsi="Times New Roman" w:eastAsia="宋体" w:cs="Times New Roman"/>
                <w:b w:val="0"/>
                <w:bCs w:val="0"/>
                <w:color w:val="000000"/>
                <w:sz w:val="24"/>
                <w:szCs w:val="24"/>
                <w:highlight w:val="none"/>
                <w:lang w:val="en-US" w:eastAsia="zh-CN"/>
              </w:rPr>
              <w:t>t</w:t>
            </w:r>
            <w:r>
              <w:rPr>
                <w:rFonts w:hint="eastAsia"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lang w:val="en-US" w:eastAsia="zh-CN"/>
              </w:rPr>
              <w:t>a，则水性感光胶挥发性有机物产生量为</w:t>
            </w:r>
            <w:r>
              <w:rPr>
                <w:rFonts w:hint="eastAsia" w:ascii="Times New Roman" w:hAnsi="Times New Roman" w:eastAsia="宋体" w:cs="Times New Roman"/>
                <w:b w:val="0"/>
                <w:bCs w:val="0"/>
                <w:color w:val="000000"/>
                <w:sz w:val="24"/>
                <w:szCs w:val="24"/>
                <w:highlight w:val="none"/>
                <w:lang w:val="en-US" w:eastAsia="zh-CN"/>
              </w:rPr>
              <w:t>0.0225</w:t>
            </w:r>
            <w:r>
              <w:rPr>
                <w:rFonts w:hint="default" w:ascii="Times New Roman" w:hAnsi="Times New Roman" w:eastAsia="宋体" w:cs="Times New Roman"/>
                <w:b w:val="0"/>
                <w:bCs w:val="0"/>
                <w:color w:val="000000"/>
                <w:sz w:val="24"/>
                <w:szCs w:val="24"/>
                <w:highlight w:val="none"/>
                <w:lang w:val="en-US" w:eastAsia="zh-CN"/>
              </w:rPr>
              <w:t>t</w:t>
            </w:r>
            <w:r>
              <w:rPr>
                <w:rFonts w:hint="eastAsia"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lang w:val="en-US" w:eastAsia="zh-CN"/>
              </w:rPr>
              <w:t>a。</w:t>
            </w:r>
          </w:p>
          <w:p w14:paraId="3120406F">
            <w:pPr>
              <w:pStyle w:val="21"/>
              <w:spacing w:after="0" w:line="360" w:lineRule="auto"/>
              <w:ind w:left="0" w:leftChars="0" w:firstLine="480" w:firstLineChars="200"/>
              <w:jc w:val="both"/>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w:t>
            </w:r>
            <w:r>
              <w:rPr>
                <w:rFonts w:hint="eastAsia" w:eastAsia="宋体" w:cs="Times New Roman"/>
                <w:b w:val="0"/>
                <w:bCs w:val="0"/>
                <w:color w:val="000000"/>
                <w:sz w:val="24"/>
                <w:szCs w:val="24"/>
                <w:highlight w:val="none"/>
                <w:lang w:val="en-US" w:eastAsia="zh-CN"/>
              </w:rPr>
              <w:t>3</w:t>
            </w:r>
            <w:r>
              <w:rPr>
                <w:rFonts w:hint="eastAsia" w:ascii="Times New Roman" w:hAnsi="Times New Roman" w:eastAsia="宋体" w:cs="Times New Roman"/>
                <w:b w:val="0"/>
                <w:bCs w:val="0"/>
                <w:color w:val="000000"/>
                <w:sz w:val="24"/>
                <w:szCs w:val="24"/>
                <w:highlight w:val="none"/>
                <w:lang w:val="en-US" w:eastAsia="zh-CN"/>
              </w:rPr>
              <w:t>）调浆、丝印废气</w:t>
            </w:r>
          </w:p>
          <w:p w14:paraId="65A071A8">
            <w:pPr>
              <w:pStyle w:val="21"/>
              <w:spacing w:after="0" w:line="360" w:lineRule="auto"/>
              <w:ind w:left="0" w:leftChars="0" w:firstLine="480" w:firstLineChars="200"/>
              <w:jc w:val="both"/>
              <w:rPr>
                <w:rFonts w:hint="default"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①调浆废气</w:t>
            </w:r>
          </w:p>
          <w:p w14:paraId="64D9C9E8">
            <w:pPr>
              <w:pStyle w:val="21"/>
              <w:spacing w:after="0" w:line="360" w:lineRule="auto"/>
              <w:ind w:left="0" w:leftChars="0" w:firstLine="480" w:firstLineChars="200"/>
              <w:jc w:val="both"/>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color w:val="000000"/>
                <w:sz w:val="24"/>
                <w:szCs w:val="24"/>
                <w:highlight w:val="none"/>
                <w:lang w:eastAsia="zh-CN"/>
              </w:rPr>
              <w:t>项目胶浆使用量为</w:t>
            </w:r>
            <w:r>
              <w:rPr>
                <w:rFonts w:hint="eastAsia" w:ascii="Times New Roman" w:hAnsi="Times New Roman" w:eastAsia="宋体" w:cs="Times New Roman"/>
                <w:color w:val="000000"/>
                <w:sz w:val="24"/>
                <w:szCs w:val="24"/>
                <w:highlight w:val="none"/>
                <w:lang w:val="en-US" w:eastAsia="zh-CN"/>
              </w:rPr>
              <w:t>1</w:t>
            </w:r>
            <w:r>
              <w:rPr>
                <w:rFonts w:hint="eastAsia"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eastAsia="zh-CN"/>
              </w:rPr>
              <w:t>t</w:t>
            </w:r>
            <w:r>
              <w:rPr>
                <w:rFonts w:hint="eastAsia"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a，固浆使用量</w:t>
            </w:r>
            <w:r>
              <w:rPr>
                <w:rFonts w:hint="eastAsia" w:ascii="Times New Roman" w:hAnsi="Times New Roman" w:eastAsia="宋体" w:cs="Times New Roman"/>
                <w:color w:val="000000"/>
                <w:sz w:val="24"/>
                <w:szCs w:val="24"/>
                <w:highlight w:val="none"/>
                <w:lang w:val="en-US" w:eastAsia="zh-CN"/>
              </w:rPr>
              <w:t>1</w:t>
            </w:r>
            <w:r>
              <w:rPr>
                <w:rFonts w:hint="eastAsia"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eastAsia="zh-CN"/>
              </w:rPr>
              <w:t>t</w:t>
            </w:r>
            <w:r>
              <w:rPr>
                <w:rFonts w:hint="eastAsia"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a。胶浆、固浆的挥发性有机物最大占比分别为</w:t>
            </w:r>
            <w:r>
              <w:rPr>
                <w:rFonts w:hint="eastAsia"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1.5</w:t>
            </w:r>
            <w:r>
              <w:rPr>
                <w:rFonts w:hint="default" w:ascii="Times New Roman" w:hAnsi="Times New Roman" w:eastAsia="宋体" w:cs="Times New Roman"/>
                <w:color w:val="000000"/>
                <w:sz w:val="24"/>
                <w:szCs w:val="24"/>
                <w:highlight w:val="none"/>
                <w:lang w:eastAsia="zh-CN"/>
              </w:rPr>
              <w:t>%，则浆料原料中挥发性有机物为</w:t>
            </w:r>
            <w:r>
              <w:rPr>
                <w:rFonts w:hint="eastAsia" w:ascii="Times New Roman" w:hAnsi="Times New Roman" w:eastAsia="宋体" w:cs="Times New Roman"/>
                <w:color w:val="000000"/>
                <w:sz w:val="24"/>
                <w:szCs w:val="24"/>
                <w:highlight w:val="none"/>
                <w:lang w:val="en-US" w:eastAsia="zh-CN"/>
              </w:rPr>
              <w:t>0.</w:t>
            </w:r>
            <w:r>
              <w:rPr>
                <w:rFonts w:hint="eastAsia" w:eastAsia="宋体" w:cs="Times New Roman"/>
                <w:color w:val="000000"/>
                <w:sz w:val="24"/>
                <w:szCs w:val="24"/>
                <w:highlight w:val="none"/>
                <w:lang w:val="en-US" w:eastAsia="zh-CN"/>
              </w:rPr>
              <w:t>46</w:t>
            </w:r>
            <w:r>
              <w:rPr>
                <w:rFonts w:hint="default" w:ascii="Times New Roman" w:hAnsi="Times New Roman" w:eastAsia="宋体" w:cs="Times New Roman"/>
                <w:color w:val="000000"/>
                <w:sz w:val="24"/>
                <w:szCs w:val="24"/>
                <w:highlight w:val="none"/>
                <w:lang w:eastAsia="zh-CN"/>
              </w:rPr>
              <w:t>t</w:t>
            </w:r>
            <w:r>
              <w:rPr>
                <w:rFonts w:hint="eastAsia"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a，调浆时产生的废气均按其挥发量的5%计算。调浆工序按每天工作2小时计，年工作300天，则调浆工序非甲烷总烃产生量为</w:t>
            </w:r>
            <w:r>
              <w:rPr>
                <w:rFonts w:hint="eastAsia" w:ascii="Times New Roman" w:hAnsi="Times New Roman" w:eastAsia="宋体" w:cs="Times New Roman"/>
                <w:color w:val="000000"/>
                <w:sz w:val="24"/>
                <w:szCs w:val="24"/>
                <w:highlight w:val="none"/>
                <w:lang w:val="en-US" w:eastAsia="zh-CN"/>
              </w:rPr>
              <w:t>0.0</w:t>
            </w:r>
            <w:r>
              <w:rPr>
                <w:rFonts w:hint="eastAsia" w:eastAsia="宋体" w:cs="Times New Roman"/>
                <w:color w:val="000000"/>
                <w:sz w:val="24"/>
                <w:szCs w:val="24"/>
                <w:highlight w:val="none"/>
                <w:lang w:val="en-US" w:eastAsia="zh-CN"/>
              </w:rPr>
              <w:t>23</w:t>
            </w:r>
            <w:r>
              <w:rPr>
                <w:rFonts w:hint="default" w:ascii="Times New Roman" w:hAnsi="Times New Roman" w:eastAsia="宋体" w:cs="Times New Roman"/>
                <w:color w:val="000000"/>
                <w:sz w:val="24"/>
                <w:szCs w:val="24"/>
                <w:highlight w:val="none"/>
                <w:lang w:eastAsia="zh-CN"/>
              </w:rPr>
              <w:t>t</w:t>
            </w:r>
            <w:r>
              <w:rPr>
                <w:rFonts w:hint="eastAsia"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a</w:t>
            </w:r>
            <w:r>
              <w:rPr>
                <w:rFonts w:hint="eastAsia" w:eastAsia="宋体" w:cs="Times New Roman"/>
                <w:color w:val="000000"/>
                <w:sz w:val="24"/>
                <w:szCs w:val="24"/>
                <w:highlight w:val="none"/>
                <w:lang w:eastAsia="zh-CN"/>
              </w:rPr>
              <w:t>（</w:t>
            </w:r>
            <w:r>
              <w:rPr>
                <w:rFonts w:hint="eastAsia" w:eastAsia="宋体" w:cs="Times New Roman"/>
                <w:color w:val="000000"/>
                <w:sz w:val="24"/>
                <w:szCs w:val="24"/>
                <w:highlight w:val="none"/>
                <w:lang w:val="en-US" w:eastAsia="zh-CN"/>
              </w:rPr>
              <w:t>0.038kg/h</w:t>
            </w:r>
            <w:r>
              <w:rPr>
                <w:rFonts w:hint="eastAsia"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eastAsia="zh-CN"/>
              </w:rPr>
              <w:t>。</w:t>
            </w:r>
          </w:p>
          <w:p w14:paraId="3C217B6E">
            <w:pPr>
              <w:spacing w:line="360" w:lineRule="auto"/>
              <w:ind w:firstLine="480" w:firstLineChars="200"/>
              <w:jc w:val="both"/>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②丝印</w:t>
            </w:r>
            <w:r>
              <w:rPr>
                <w:rFonts w:hint="default" w:ascii="Times New Roman" w:hAnsi="Times New Roman" w:cs="Times New Roman"/>
                <w:sz w:val="24"/>
                <w:szCs w:val="24"/>
                <w:highlight w:val="none"/>
                <w:lang w:val="en-US" w:eastAsia="zh-CN"/>
              </w:rPr>
              <w:t>废气</w:t>
            </w:r>
          </w:p>
          <w:p w14:paraId="61A3C1CD">
            <w:pPr>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项目丝印过程废气包括丝印和晾干</w:t>
            </w:r>
            <w:r>
              <w:rPr>
                <w:rFonts w:hint="eastAsia" w:cs="Times New Roman"/>
                <w:color w:val="000000"/>
                <w:sz w:val="24"/>
                <w:szCs w:val="24"/>
                <w:highlight w:val="none"/>
                <w:lang w:val="en-US" w:eastAsia="zh-CN"/>
              </w:rPr>
              <w:t>/烘干</w:t>
            </w:r>
            <w:r>
              <w:rPr>
                <w:rFonts w:hint="eastAsia" w:ascii="Times New Roman" w:hAnsi="Times New Roman" w:eastAsia="宋体" w:cs="Times New Roman"/>
                <w:color w:val="000000"/>
                <w:sz w:val="24"/>
                <w:szCs w:val="24"/>
                <w:highlight w:val="none"/>
              </w:rPr>
              <w:t>工序产生的废气，主要污染因子为非甲烷总烃，来源于原料</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胶浆、固浆</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中的挥发性有机物。项目水性胶浆使用量为</w:t>
            </w:r>
            <w:r>
              <w:rPr>
                <w:rFonts w:hint="eastAsia" w:ascii="Times New Roman" w:hAnsi="Times New Roman" w:eastAsia="宋体" w:cs="Times New Roman"/>
                <w:color w:val="000000"/>
                <w:sz w:val="24"/>
                <w:szCs w:val="24"/>
                <w:highlight w:val="none"/>
                <w:lang w:val="en-US" w:eastAsia="zh-CN"/>
              </w:rPr>
              <w:t>1</w:t>
            </w:r>
            <w:r>
              <w:rPr>
                <w:rFonts w:hint="eastAsia" w:cs="Times New Roman"/>
                <w:color w:val="000000"/>
                <w:sz w:val="24"/>
                <w:szCs w:val="24"/>
                <w:highlight w:val="none"/>
                <w:lang w:val="en-US" w:eastAsia="zh-CN"/>
              </w:rPr>
              <w:t>3</w:t>
            </w:r>
            <w:r>
              <w:rPr>
                <w:rFonts w:hint="eastAsia" w:ascii="Times New Roman" w:hAnsi="Times New Roman" w:eastAsia="宋体" w:cs="Times New Roman"/>
                <w:color w:val="000000"/>
                <w:sz w:val="24"/>
                <w:szCs w:val="24"/>
                <w:highlight w:val="none"/>
              </w:rPr>
              <w:t>t</w:t>
            </w:r>
            <w:r>
              <w:rPr>
                <w:rFonts w:hint="eastAsia"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rPr>
              <w:t>a</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水性固浆使用量1</w:t>
            </w:r>
            <w:r>
              <w:rPr>
                <w:rFonts w:hint="eastAsia" w:cs="Times New Roman"/>
                <w:color w:val="000000"/>
                <w:sz w:val="24"/>
                <w:szCs w:val="24"/>
                <w:highlight w:val="none"/>
                <w:lang w:val="en-US" w:eastAsia="zh-CN"/>
              </w:rPr>
              <w:t>3</w:t>
            </w:r>
            <w:r>
              <w:rPr>
                <w:rFonts w:hint="eastAsia" w:ascii="Times New Roman" w:hAnsi="Times New Roman" w:eastAsia="宋体" w:cs="Times New Roman"/>
                <w:color w:val="000000"/>
                <w:sz w:val="24"/>
                <w:szCs w:val="24"/>
                <w:highlight w:val="none"/>
              </w:rPr>
              <w:t>t</w:t>
            </w:r>
            <w:r>
              <w:rPr>
                <w:rFonts w:hint="eastAsia"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rPr>
              <w:t>a，根据项目原辅材料性质可知，胶浆、固浆的挥发性有机物最大占比分别为</w:t>
            </w:r>
            <w:r>
              <w:rPr>
                <w:rFonts w:hint="eastAsia" w:ascii="Times New Roman" w:hAnsi="Times New Roman" w:eastAsia="宋体" w:cs="Times New Roman"/>
                <w:color w:val="000000"/>
                <w:sz w:val="24"/>
                <w:szCs w:val="24"/>
                <w:highlight w:val="none"/>
                <w:lang w:val="en-US" w:eastAsia="zh-CN"/>
              </w:rPr>
              <w:t>2</w:t>
            </w:r>
            <w:r>
              <w:rPr>
                <w:rFonts w:hint="eastAsia"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1.5</w:t>
            </w:r>
            <w:r>
              <w:rPr>
                <w:rFonts w:hint="eastAsia" w:ascii="Times New Roman" w:hAnsi="Times New Roman" w:eastAsia="宋体" w:cs="Times New Roman"/>
                <w:color w:val="000000"/>
                <w:sz w:val="24"/>
                <w:szCs w:val="24"/>
                <w:highlight w:val="none"/>
              </w:rPr>
              <w:t>%，则浆料原料中挥发性有机物为0.</w:t>
            </w:r>
            <w:r>
              <w:rPr>
                <w:rFonts w:hint="eastAsia" w:cs="Times New Roman"/>
                <w:color w:val="000000"/>
                <w:sz w:val="24"/>
                <w:szCs w:val="24"/>
                <w:highlight w:val="none"/>
                <w:lang w:val="en-US" w:eastAsia="zh-CN"/>
              </w:rPr>
              <w:t>46</w:t>
            </w:r>
            <w:r>
              <w:rPr>
                <w:rFonts w:hint="eastAsia" w:ascii="Times New Roman" w:hAnsi="Times New Roman" w:eastAsia="宋体" w:cs="Times New Roman"/>
                <w:color w:val="000000"/>
                <w:sz w:val="24"/>
                <w:szCs w:val="24"/>
                <w:highlight w:val="none"/>
              </w:rPr>
              <w:t>t</w:t>
            </w:r>
            <w:r>
              <w:rPr>
                <w:rFonts w:hint="eastAsia"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rPr>
              <w:t>a，丝印和晾干过程产生的废气均按固浆、胶浆挥发量的95%计算，则项目丝印过程非甲烷总烃产生量为</w:t>
            </w:r>
            <w:r>
              <w:rPr>
                <w:rFonts w:hint="eastAsia" w:cs="Times New Roman"/>
                <w:color w:val="000000"/>
                <w:sz w:val="24"/>
                <w:szCs w:val="24"/>
                <w:highlight w:val="none"/>
                <w:lang w:val="en-US" w:eastAsia="zh-CN"/>
              </w:rPr>
              <w:t>0.437</w:t>
            </w:r>
            <w:r>
              <w:rPr>
                <w:rFonts w:hint="eastAsia" w:ascii="Times New Roman" w:hAnsi="Times New Roman" w:eastAsia="宋体" w:cs="Times New Roman"/>
                <w:color w:val="000000"/>
                <w:sz w:val="24"/>
                <w:szCs w:val="24"/>
                <w:highlight w:val="none"/>
              </w:rPr>
              <w:t>t</w:t>
            </w:r>
            <w:r>
              <w:rPr>
                <w:rFonts w:hint="eastAsia"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rPr>
              <w:t>a。</w:t>
            </w:r>
          </w:p>
          <w:p w14:paraId="37EDF989">
            <w:pPr>
              <w:pStyle w:val="74"/>
              <w:spacing w:line="344" w:lineRule="auto"/>
              <w:ind w:firstLine="482" w:firstLineChars="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根据建设单位提供资料，项目生产时车间门窗关闭，生产车间保持密闭状态，建设单位拟在调浆工序、制版涂胶及</w:t>
            </w:r>
            <w:r>
              <w:rPr>
                <w:rFonts w:hint="eastAsia" w:cs="Times New Roman"/>
                <w:sz w:val="24"/>
                <w:szCs w:val="24"/>
                <w:highlight w:val="none"/>
                <w:lang w:val="en-US" w:eastAsia="zh-CN"/>
              </w:rPr>
              <w:t>晒</w:t>
            </w:r>
            <w:r>
              <w:rPr>
                <w:rFonts w:hint="default" w:ascii="Times New Roman" w:hAnsi="Times New Roman" w:cs="Times New Roman"/>
                <w:sz w:val="24"/>
                <w:szCs w:val="24"/>
                <w:highlight w:val="none"/>
                <w:lang w:val="en-US" w:eastAsia="zh-CN"/>
              </w:rPr>
              <w:t>版工序、丝印操作台等车间设置负压收集，废气一起经一套“活性炭吸附装置”处理后通过一根25m高排气筒</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DA00</w:t>
            </w:r>
            <w:r>
              <w:rPr>
                <w:rFonts w:hint="eastAsia"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排放。项目配套总风机风量为</w:t>
            </w:r>
            <w:r>
              <w:rPr>
                <w:rFonts w:hint="eastAsia" w:cs="Times New Roman"/>
                <w:sz w:val="24"/>
                <w:szCs w:val="24"/>
                <w:highlight w:val="none"/>
                <w:lang w:val="en-US" w:eastAsia="zh-CN"/>
              </w:rPr>
              <w:t>2</w:t>
            </w:r>
            <w:r>
              <w:rPr>
                <w:rFonts w:hint="default" w:ascii="Times New Roman" w:hAnsi="Times New Roman" w:cs="Times New Roman"/>
                <w:sz w:val="24"/>
                <w:szCs w:val="24"/>
                <w:highlight w:val="none"/>
                <w:lang w:val="en-US" w:eastAsia="zh-CN"/>
              </w:rPr>
              <w:t>0000m</w:t>
            </w:r>
            <w:r>
              <w:rPr>
                <w:rFonts w:hint="eastAsia"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h，废气收集效率按80%计。</w:t>
            </w:r>
          </w:p>
          <w:p w14:paraId="26445FE9">
            <w:pPr>
              <w:pStyle w:val="74"/>
              <w:spacing w:line="344" w:lineRule="auto"/>
              <w:ind w:firstLine="482" w:firstLineChars="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项目使用的是蜂窝活性炭(碘值&gt;800mg/g)，参照《挥发性有机物无组织排放控制标准》</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编制说明</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，VOCs控制技术的去除效率与进气浓度相关，采用活性炭吸附法时，有机污染物</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以非甲烷总烃计</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进气浓度在200ppm</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263.31mg/m</w:t>
            </w:r>
            <w:r>
              <w:rPr>
                <w:rFonts w:hint="eastAsia"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以下的，其去除率仅可达50%。</w:t>
            </w:r>
          </w:p>
          <w:p w14:paraId="31008821">
            <w:pPr>
              <w:pStyle w:val="74"/>
              <w:spacing w:line="344" w:lineRule="auto"/>
              <w:ind w:firstLine="482" w:firstLineChars="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综上所述，项目制版、调浆、丝印过程非甲烷总烃产生量为0.</w:t>
            </w:r>
            <w:r>
              <w:rPr>
                <w:rFonts w:hint="eastAsia" w:cs="Times New Roman"/>
                <w:sz w:val="24"/>
                <w:szCs w:val="24"/>
                <w:highlight w:val="none"/>
                <w:lang w:val="en-US" w:eastAsia="zh-CN"/>
              </w:rPr>
              <w:t>48</w:t>
            </w:r>
            <w:r>
              <w:rPr>
                <w:rFonts w:hint="eastAsia" w:ascii="Times New Roman" w:hAnsi="Times New Roman" w:cs="Times New Roman"/>
                <w:sz w:val="24"/>
                <w:szCs w:val="24"/>
                <w:highlight w:val="none"/>
                <w:lang w:val="en-US" w:eastAsia="zh-CN"/>
              </w:rPr>
              <w:t>25</w:t>
            </w:r>
            <w:r>
              <w:rPr>
                <w:rFonts w:hint="default" w:ascii="Times New Roman" w:hAnsi="Times New Roman" w:cs="Times New Roman"/>
                <w:sz w:val="24"/>
                <w:szCs w:val="24"/>
                <w:highlight w:val="none"/>
                <w:lang w:val="en-US" w:eastAsia="zh-CN"/>
              </w:rPr>
              <w:t>t</w:t>
            </w:r>
            <w:r>
              <w:rPr>
                <w:rFonts w:hint="eastAsia" w:cs="Times New Roman"/>
                <w:sz w:val="24"/>
                <w:szCs w:val="24"/>
                <w:highlight w:val="none"/>
                <w:lang w:val="en-US" w:eastAsia="zh-CN"/>
              </w:rPr>
              <w:t>/</w:t>
            </w:r>
            <w:r>
              <w:rPr>
                <w:rFonts w:hint="default" w:ascii="Times New Roman" w:hAnsi="Times New Roman" w:cs="Times New Roman"/>
                <w:sz w:val="24"/>
                <w:szCs w:val="24"/>
                <w:highlight w:val="none"/>
                <w:lang w:val="en-US" w:eastAsia="zh-CN"/>
              </w:rPr>
              <w:t>a，则项目挥发性有机物</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以非甲烷总烃计</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有组织产生量为</w:t>
            </w:r>
            <w:r>
              <w:rPr>
                <w:rFonts w:hint="eastAsia" w:ascii="Times New Roman" w:hAnsi="Times New Roman" w:cs="Times New Roman"/>
                <w:sz w:val="24"/>
                <w:szCs w:val="24"/>
                <w:highlight w:val="none"/>
                <w:lang w:val="en-US" w:eastAsia="zh-CN"/>
              </w:rPr>
              <w:t>0.</w:t>
            </w:r>
            <w:r>
              <w:rPr>
                <w:rFonts w:hint="eastAsia" w:cs="Times New Roman"/>
                <w:sz w:val="24"/>
                <w:szCs w:val="24"/>
                <w:highlight w:val="none"/>
                <w:lang w:val="en-US" w:eastAsia="zh-CN"/>
              </w:rPr>
              <w:t>386</w:t>
            </w:r>
            <w:r>
              <w:rPr>
                <w:rFonts w:hint="default" w:ascii="Times New Roman" w:hAnsi="Times New Roman" w:cs="Times New Roman"/>
                <w:sz w:val="24"/>
                <w:szCs w:val="24"/>
                <w:highlight w:val="none"/>
                <w:lang w:val="en-US" w:eastAsia="zh-CN"/>
              </w:rPr>
              <w:t>t</w:t>
            </w:r>
            <w:r>
              <w:rPr>
                <w:rFonts w:hint="eastAsia" w:cs="Times New Roman"/>
                <w:sz w:val="24"/>
                <w:szCs w:val="24"/>
                <w:highlight w:val="none"/>
                <w:lang w:val="en-US" w:eastAsia="zh-CN"/>
              </w:rPr>
              <w:t>/</w:t>
            </w:r>
            <w:r>
              <w:rPr>
                <w:rFonts w:hint="default" w:ascii="Times New Roman" w:hAnsi="Times New Roman" w:cs="Times New Roman"/>
                <w:sz w:val="24"/>
                <w:szCs w:val="24"/>
                <w:highlight w:val="none"/>
                <w:lang w:val="en-US" w:eastAsia="zh-CN"/>
              </w:rPr>
              <w:t>a，经处理后有组织排放量为0.</w:t>
            </w:r>
            <w:r>
              <w:rPr>
                <w:rFonts w:hint="eastAsia" w:ascii="Times New Roman" w:hAnsi="Times New Roman" w:cs="Times New Roman"/>
                <w:sz w:val="24"/>
                <w:szCs w:val="24"/>
                <w:highlight w:val="none"/>
                <w:lang w:val="en-US" w:eastAsia="zh-CN"/>
              </w:rPr>
              <w:t>1</w:t>
            </w:r>
            <w:r>
              <w:rPr>
                <w:rFonts w:hint="eastAsia" w:cs="Times New Roman"/>
                <w:sz w:val="24"/>
                <w:szCs w:val="24"/>
                <w:highlight w:val="none"/>
                <w:lang w:val="en-US" w:eastAsia="zh-CN"/>
              </w:rPr>
              <w:t>93</w:t>
            </w:r>
            <w:r>
              <w:rPr>
                <w:rFonts w:hint="default" w:ascii="Times New Roman" w:hAnsi="Times New Roman" w:cs="Times New Roman"/>
                <w:sz w:val="24"/>
                <w:szCs w:val="24"/>
                <w:highlight w:val="none"/>
                <w:lang w:val="en-US" w:eastAsia="zh-CN"/>
              </w:rPr>
              <w:t>t</w:t>
            </w:r>
            <w:r>
              <w:rPr>
                <w:rFonts w:hint="eastAsia" w:cs="Times New Roman"/>
                <w:sz w:val="24"/>
                <w:szCs w:val="24"/>
                <w:highlight w:val="none"/>
                <w:lang w:val="en-US" w:eastAsia="zh-CN"/>
              </w:rPr>
              <w:t>/</w:t>
            </w:r>
            <w:r>
              <w:rPr>
                <w:rFonts w:hint="default" w:ascii="Times New Roman" w:hAnsi="Times New Roman" w:cs="Times New Roman"/>
                <w:sz w:val="24"/>
                <w:szCs w:val="24"/>
                <w:highlight w:val="none"/>
                <w:lang w:val="en-US" w:eastAsia="zh-CN"/>
              </w:rPr>
              <w:t>a，无组织排放量为</w:t>
            </w:r>
            <w:r>
              <w:rPr>
                <w:rFonts w:hint="eastAsia" w:cs="Times New Roman"/>
                <w:sz w:val="24"/>
                <w:szCs w:val="24"/>
                <w:highlight w:val="none"/>
                <w:lang w:val="en-US" w:eastAsia="zh-CN"/>
              </w:rPr>
              <w:t>0.0975</w:t>
            </w:r>
            <w:r>
              <w:rPr>
                <w:rFonts w:hint="default" w:ascii="Times New Roman" w:hAnsi="Times New Roman" w:cs="Times New Roman"/>
                <w:sz w:val="24"/>
                <w:szCs w:val="24"/>
                <w:highlight w:val="none"/>
                <w:lang w:val="en-US" w:eastAsia="zh-CN"/>
              </w:rPr>
              <w:t>t</w:t>
            </w:r>
            <w:r>
              <w:rPr>
                <w:rFonts w:hint="eastAsia" w:cs="Times New Roman"/>
                <w:sz w:val="24"/>
                <w:szCs w:val="24"/>
                <w:highlight w:val="none"/>
                <w:lang w:val="en-US" w:eastAsia="zh-CN"/>
              </w:rPr>
              <w:t>/</w:t>
            </w:r>
            <w:r>
              <w:rPr>
                <w:rFonts w:hint="default" w:ascii="Times New Roman" w:hAnsi="Times New Roman" w:cs="Times New Roman"/>
                <w:sz w:val="24"/>
                <w:szCs w:val="24"/>
                <w:highlight w:val="none"/>
                <w:lang w:val="en-US" w:eastAsia="zh-CN"/>
              </w:rPr>
              <w:t>a。根据建设单位提供的资料，</w:t>
            </w:r>
            <w:r>
              <w:rPr>
                <w:rFonts w:hint="eastAsia" w:ascii="Times New Roman" w:hAnsi="Times New Roman" w:cs="Times New Roman"/>
                <w:sz w:val="24"/>
                <w:szCs w:val="24"/>
                <w:highlight w:val="none"/>
                <w:lang w:val="en-US" w:eastAsia="zh-CN"/>
              </w:rPr>
              <w:t>项目</w:t>
            </w:r>
            <w:r>
              <w:rPr>
                <w:rFonts w:hint="default" w:ascii="Times New Roman" w:hAnsi="Times New Roman" w:cs="Times New Roman"/>
                <w:sz w:val="24"/>
                <w:szCs w:val="24"/>
                <w:highlight w:val="none"/>
                <w:lang w:val="en-US" w:eastAsia="zh-CN"/>
              </w:rPr>
              <w:t>年工作时间为</w:t>
            </w:r>
            <w:r>
              <w:rPr>
                <w:rFonts w:hint="eastAsia" w:cs="Times New Roman"/>
                <w:sz w:val="24"/>
                <w:szCs w:val="24"/>
                <w:highlight w:val="none"/>
                <w:lang w:val="en-US" w:eastAsia="zh-CN"/>
              </w:rPr>
              <w:t>36</w:t>
            </w:r>
            <w:r>
              <w:rPr>
                <w:rFonts w:hint="default" w:ascii="Times New Roman" w:hAnsi="Times New Roman" w:cs="Times New Roman"/>
                <w:sz w:val="24"/>
                <w:szCs w:val="24"/>
                <w:highlight w:val="none"/>
                <w:lang w:val="en-US" w:eastAsia="zh-CN"/>
              </w:rPr>
              <w:t>00h</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项目挥发性有机物产排污情况详见表 4-</w:t>
            </w:r>
            <w:r>
              <w:rPr>
                <w:rFonts w:hint="eastAsia" w:cs="Times New Roman"/>
                <w:sz w:val="24"/>
                <w:szCs w:val="24"/>
                <w:highlight w:val="none"/>
                <w:lang w:val="en-US" w:eastAsia="zh-CN"/>
              </w:rPr>
              <w:t>3</w:t>
            </w:r>
            <w:r>
              <w:rPr>
                <w:rFonts w:hint="default" w:ascii="Times New Roman" w:hAnsi="Times New Roman" w:cs="Times New Roman"/>
                <w:sz w:val="24"/>
                <w:szCs w:val="24"/>
                <w:highlight w:val="none"/>
                <w:lang w:val="en-US" w:eastAsia="zh-CN"/>
              </w:rPr>
              <w:t>。</w:t>
            </w:r>
          </w:p>
          <w:p w14:paraId="56643A2A">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szCs w:val="24"/>
                <w:highlight w:val="none"/>
              </w:rPr>
              <w:t>表4-</w:t>
            </w:r>
            <w:r>
              <w:rPr>
                <w:rFonts w:hint="eastAsia" w:cs="Times New Roman"/>
                <w:b/>
                <w:bCs/>
                <w:color w:val="000000"/>
                <w:sz w:val="24"/>
                <w:szCs w:val="24"/>
                <w:highlight w:val="none"/>
                <w:lang w:val="en-US" w:eastAsia="zh-CN"/>
              </w:rPr>
              <w:t>3</w:t>
            </w:r>
            <w:r>
              <w:rPr>
                <w:rFonts w:hint="default" w:ascii="Times New Roman" w:hAnsi="Times New Roman" w:eastAsia="宋体" w:cs="Times New Roman"/>
                <w:b/>
                <w:bCs/>
                <w:color w:val="000000"/>
                <w:sz w:val="24"/>
                <w:highlight w:val="none"/>
                <w:lang w:eastAsia="zh-CN"/>
              </w:rPr>
              <w:t>正常情况下</w:t>
            </w:r>
            <w:r>
              <w:rPr>
                <w:rFonts w:hint="default" w:ascii="Times New Roman" w:hAnsi="Times New Roman" w:eastAsia="宋体" w:cs="Times New Roman"/>
                <w:b/>
                <w:bCs/>
                <w:color w:val="000000"/>
                <w:sz w:val="24"/>
                <w:highlight w:val="none"/>
              </w:rPr>
              <w:t>废气污染源源强核算结果及相关参数一览表</w:t>
            </w:r>
          </w:p>
          <w:tbl>
            <w:tblPr>
              <w:tblStyle w:val="25"/>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70"/>
              <w:gridCol w:w="545"/>
              <w:gridCol w:w="435"/>
              <w:gridCol w:w="486"/>
              <w:gridCol w:w="854"/>
              <w:gridCol w:w="696"/>
              <w:gridCol w:w="679"/>
              <w:gridCol w:w="601"/>
              <w:gridCol w:w="856"/>
              <w:gridCol w:w="698"/>
              <w:gridCol w:w="590"/>
              <w:gridCol w:w="909"/>
            </w:tblGrid>
            <w:tr w14:paraId="16F514D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01" w:type="pct"/>
                  <w:vMerge w:val="restart"/>
                  <w:tcBorders>
                    <w:tl2br w:val="nil"/>
                    <w:tr2bl w:val="nil"/>
                  </w:tcBorders>
                  <w:noWrap w:val="0"/>
                  <w:vAlign w:val="center"/>
                </w:tcPr>
                <w:p w14:paraId="45FA26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sz w:val="18"/>
                      <w:szCs w:val="18"/>
                      <w:highlight w:val="none"/>
                      <w:lang w:eastAsia="zh-CN"/>
                    </w:rPr>
                    <w:t>工序</w:t>
                  </w:r>
                </w:p>
              </w:tc>
              <w:tc>
                <w:tcPr>
                  <w:tcW w:w="349" w:type="pct"/>
                  <w:vMerge w:val="restart"/>
                  <w:tcBorders>
                    <w:tl2br w:val="nil"/>
                    <w:tr2bl w:val="nil"/>
                  </w:tcBorders>
                  <w:noWrap w:val="0"/>
                  <w:vAlign w:val="center"/>
                </w:tcPr>
                <w:p w14:paraId="03DB26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rPr>
                    <w:t>污染源</w:t>
                  </w:r>
                  <w:r>
                    <w:rPr>
                      <w:rFonts w:hint="default" w:ascii="Times New Roman" w:hAnsi="Times New Roman" w:eastAsia="宋体" w:cs="Times New Roman"/>
                      <w:color w:val="000000"/>
                      <w:sz w:val="18"/>
                      <w:szCs w:val="18"/>
                      <w:highlight w:val="none"/>
                      <w:lang w:val="en-US" w:eastAsia="zh-CN"/>
                    </w:rPr>
                    <w:t>/编号</w:t>
                  </w:r>
                </w:p>
              </w:tc>
              <w:tc>
                <w:tcPr>
                  <w:tcW w:w="278" w:type="pct"/>
                  <w:vMerge w:val="restart"/>
                  <w:tcBorders>
                    <w:tl2br w:val="nil"/>
                    <w:tr2bl w:val="nil"/>
                  </w:tcBorders>
                  <w:noWrap w:val="0"/>
                  <w:vAlign w:val="center"/>
                </w:tcPr>
                <w:p w14:paraId="025ACD0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污染物</w:t>
                  </w:r>
                </w:p>
              </w:tc>
              <w:tc>
                <w:tcPr>
                  <w:tcW w:w="1736" w:type="pct"/>
                  <w:gridSpan w:val="4"/>
                  <w:tcBorders>
                    <w:tl2br w:val="nil"/>
                    <w:tr2bl w:val="nil"/>
                  </w:tcBorders>
                  <w:noWrap w:val="0"/>
                  <w:vAlign w:val="center"/>
                </w:tcPr>
                <w:p w14:paraId="5BD025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污染物产生</w:t>
                  </w:r>
                </w:p>
              </w:tc>
              <w:tc>
                <w:tcPr>
                  <w:tcW w:w="1754" w:type="pct"/>
                  <w:gridSpan w:val="4"/>
                  <w:tcBorders>
                    <w:tl2br w:val="nil"/>
                    <w:tr2bl w:val="nil"/>
                  </w:tcBorders>
                  <w:noWrap w:val="0"/>
                  <w:vAlign w:val="center"/>
                </w:tcPr>
                <w:p w14:paraId="3D266A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污染物排放</w:t>
                  </w:r>
                </w:p>
              </w:tc>
              <w:tc>
                <w:tcPr>
                  <w:tcW w:w="581" w:type="pct"/>
                  <w:vMerge w:val="restart"/>
                  <w:tcBorders>
                    <w:tl2br w:val="nil"/>
                    <w:tr2bl w:val="nil"/>
                  </w:tcBorders>
                  <w:noWrap w:val="0"/>
                  <w:vAlign w:val="center"/>
                </w:tcPr>
                <w:p w14:paraId="782476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sz w:val="18"/>
                      <w:szCs w:val="18"/>
                      <w:highlight w:val="none"/>
                      <w:lang w:eastAsia="zh-CN"/>
                    </w:rPr>
                    <w:t>废气量（</w:t>
                  </w:r>
                  <w:r>
                    <w:rPr>
                      <w:rFonts w:hint="eastAsia" w:ascii="Times New Roman" w:hAnsi="Times New Roman" w:eastAsia="宋体" w:cs="Times New Roman"/>
                      <w:color w:val="000000"/>
                      <w:sz w:val="18"/>
                      <w:szCs w:val="18"/>
                      <w:highlight w:val="none"/>
                      <w:lang w:val="en-US" w:eastAsia="zh-CN"/>
                    </w:rPr>
                    <w:t>m</w:t>
                  </w:r>
                  <w:r>
                    <w:rPr>
                      <w:rFonts w:hint="eastAsia" w:ascii="Times New Roman" w:hAnsi="Times New Roman" w:eastAsia="宋体" w:cs="Times New Roman"/>
                      <w:color w:val="000000"/>
                      <w:sz w:val="18"/>
                      <w:szCs w:val="18"/>
                      <w:highlight w:val="none"/>
                      <w:vertAlign w:val="superscript"/>
                      <w:lang w:val="en-US" w:eastAsia="zh-CN"/>
                    </w:rPr>
                    <w:t>3</w:t>
                  </w:r>
                  <w:r>
                    <w:rPr>
                      <w:rFonts w:hint="eastAsia" w:ascii="Times New Roman" w:hAnsi="Times New Roman" w:eastAsia="宋体" w:cs="Times New Roman"/>
                      <w:color w:val="000000"/>
                      <w:sz w:val="18"/>
                      <w:szCs w:val="18"/>
                      <w:highlight w:val="none"/>
                      <w:vertAlign w:val="baseline"/>
                      <w:lang w:val="en-US" w:eastAsia="zh-CN"/>
                    </w:rPr>
                    <w:t>/h</w:t>
                  </w:r>
                  <w:r>
                    <w:rPr>
                      <w:rFonts w:hint="eastAsia" w:ascii="Times New Roman" w:hAnsi="Times New Roman" w:eastAsia="宋体" w:cs="Times New Roman"/>
                      <w:color w:val="000000"/>
                      <w:sz w:val="18"/>
                      <w:szCs w:val="18"/>
                      <w:highlight w:val="none"/>
                      <w:lang w:eastAsia="zh-CN"/>
                    </w:rPr>
                    <w:t>）</w:t>
                  </w:r>
                </w:p>
              </w:tc>
            </w:tr>
            <w:tr w14:paraId="6B34A85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01" w:type="pct"/>
                  <w:vMerge w:val="continue"/>
                  <w:tcBorders>
                    <w:tl2br w:val="nil"/>
                    <w:tr2bl w:val="nil"/>
                  </w:tcBorders>
                  <w:noWrap w:val="0"/>
                  <w:vAlign w:val="center"/>
                </w:tcPr>
                <w:p w14:paraId="0BB345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18"/>
                      <w:szCs w:val="18"/>
                      <w:highlight w:val="none"/>
                    </w:rPr>
                  </w:pPr>
                </w:p>
              </w:tc>
              <w:tc>
                <w:tcPr>
                  <w:tcW w:w="349" w:type="pct"/>
                  <w:vMerge w:val="continue"/>
                  <w:tcBorders>
                    <w:tl2br w:val="nil"/>
                    <w:tr2bl w:val="nil"/>
                  </w:tcBorders>
                  <w:noWrap w:val="0"/>
                  <w:vAlign w:val="center"/>
                </w:tcPr>
                <w:p w14:paraId="66223D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18"/>
                      <w:szCs w:val="18"/>
                      <w:highlight w:val="none"/>
                    </w:rPr>
                  </w:pPr>
                </w:p>
              </w:tc>
              <w:tc>
                <w:tcPr>
                  <w:tcW w:w="278" w:type="pct"/>
                  <w:vMerge w:val="continue"/>
                  <w:tcBorders>
                    <w:tl2br w:val="nil"/>
                    <w:tr2bl w:val="nil"/>
                  </w:tcBorders>
                  <w:noWrap w:val="0"/>
                  <w:vAlign w:val="center"/>
                </w:tcPr>
                <w:p w14:paraId="0180DB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18"/>
                      <w:szCs w:val="18"/>
                      <w:highlight w:val="none"/>
                    </w:rPr>
                  </w:pPr>
                </w:p>
              </w:tc>
              <w:tc>
                <w:tcPr>
                  <w:tcW w:w="311" w:type="pct"/>
                  <w:tcBorders>
                    <w:tl2br w:val="nil"/>
                    <w:tr2bl w:val="nil"/>
                  </w:tcBorders>
                  <w:noWrap w:val="0"/>
                  <w:vAlign w:val="center"/>
                </w:tcPr>
                <w:p w14:paraId="3429930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sz w:val="18"/>
                      <w:szCs w:val="18"/>
                      <w:highlight w:val="none"/>
                      <w:lang w:eastAsia="zh-CN"/>
                    </w:rPr>
                    <w:t>核算方法</w:t>
                  </w:r>
                </w:p>
              </w:tc>
              <w:tc>
                <w:tcPr>
                  <w:tcW w:w="546" w:type="pct"/>
                  <w:tcBorders>
                    <w:tl2br w:val="nil"/>
                    <w:tr2bl w:val="nil"/>
                  </w:tcBorders>
                  <w:noWrap w:val="0"/>
                  <w:vAlign w:val="center"/>
                </w:tcPr>
                <w:p w14:paraId="497662F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产生浓度</w:t>
                  </w:r>
                </w:p>
                <w:p w14:paraId="474DFB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（mg/m</w:t>
                  </w:r>
                  <w:r>
                    <w:rPr>
                      <w:rFonts w:hint="default" w:ascii="Times New Roman" w:hAnsi="Times New Roman" w:eastAsia="宋体" w:cs="Times New Roman"/>
                      <w:color w:val="000000"/>
                      <w:sz w:val="18"/>
                      <w:szCs w:val="18"/>
                      <w:highlight w:val="none"/>
                      <w:vertAlign w:val="superscript"/>
                      <w:lang w:val="en-US" w:eastAsia="zh-CN"/>
                    </w:rPr>
                    <w:t>3</w:t>
                  </w:r>
                  <w:r>
                    <w:rPr>
                      <w:rFonts w:hint="default" w:ascii="Times New Roman" w:hAnsi="Times New Roman" w:eastAsia="宋体" w:cs="Times New Roman"/>
                      <w:color w:val="000000"/>
                      <w:sz w:val="18"/>
                      <w:szCs w:val="18"/>
                      <w:highlight w:val="none"/>
                    </w:rPr>
                    <w:t>）</w:t>
                  </w:r>
                </w:p>
              </w:tc>
              <w:tc>
                <w:tcPr>
                  <w:tcW w:w="445" w:type="pct"/>
                  <w:tcBorders>
                    <w:tl2br w:val="nil"/>
                    <w:tr2bl w:val="nil"/>
                  </w:tcBorders>
                  <w:noWrap w:val="0"/>
                  <w:vAlign w:val="center"/>
                </w:tcPr>
                <w:p w14:paraId="173070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产生</w:t>
                  </w:r>
                  <w:r>
                    <w:rPr>
                      <w:rFonts w:hint="default" w:ascii="Times New Roman" w:hAnsi="Times New Roman" w:eastAsia="宋体" w:cs="Times New Roman"/>
                      <w:color w:val="000000"/>
                      <w:sz w:val="18"/>
                      <w:szCs w:val="18"/>
                      <w:highlight w:val="none"/>
                      <w:lang w:eastAsia="zh-CN"/>
                    </w:rPr>
                    <w:t>速率</w:t>
                  </w:r>
                  <w:r>
                    <w:rPr>
                      <w:rFonts w:hint="default" w:ascii="Times New Roman" w:hAnsi="Times New Roman" w:eastAsia="宋体" w:cs="Times New Roman"/>
                      <w:color w:val="000000"/>
                      <w:sz w:val="18"/>
                      <w:szCs w:val="18"/>
                      <w:highlight w:val="none"/>
                    </w:rPr>
                    <w:t>（kg/h）</w:t>
                  </w:r>
                </w:p>
              </w:tc>
              <w:tc>
                <w:tcPr>
                  <w:tcW w:w="432" w:type="pct"/>
                  <w:tcBorders>
                    <w:tl2br w:val="nil"/>
                    <w:tr2bl w:val="nil"/>
                  </w:tcBorders>
                  <w:noWrap w:val="0"/>
                  <w:vAlign w:val="center"/>
                </w:tcPr>
                <w:p w14:paraId="725667C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lang w:eastAsia="zh-CN"/>
                    </w:rPr>
                    <w:t>产生量</w:t>
                  </w:r>
                  <w:r>
                    <w:rPr>
                      <w:rFonts w:hint="default" w:ascii="Times New Roman" w:hAnsi="Times New Roman" w:eastAsia="宋体" w:cs="Times New Roman"/>
                      <w:color w:val="000000"/>
                      <w:sz w:val="18"/>
                      <w:szCs w:val="18"/>
                      <w:highlight w:val="none"/>
                      <w:lang w:val="en-US" w:eastAsia="zh-CN"/>
                    </w:rPr>
                    <w:t>（t/a）</w:t>
                  </w:r>
                </w:p>
              </w:tc>
              <w:tc>
                <w:tcPr>
                  <w:tcW w:w="384" w:type="pct"/>
                  <w:tcBorders>
                    <w:tl2br w:val="nil"/>
                    <w:tr2bl w:val="nil"/>
                  </w:tcBorders>
                  <w:noWrap w:val="0"/>
                  <w:vAlign w:val="center"/>
                </w:tcPr>
                <w:p w14:paraId="793A85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sz w:val="18"/>
                      <w:szCs w:val="18"/>
                      <w:highlight w:val="none"/>
                      <w:lang w:eastAsia="zh-CN"/>
                    </w:rPr>
                    <w:t>核算方法</w:t>
                  </w:r>
                </w:p>
              </w:tc>
              <w:tc>
                <w:tcPr>
                  <w:tcW w:w="547" w:type="pct"/>
                  <w:tcBorders>
                    <w:tl2br w:val="nil"/>
                    <w:tr2bl w:val="nil"/>
                  </w:tcBorders>
                  <w:noWrap w:val="0"/>
                  <w:vAlign w:val="center"/>
                </w:tcPr>
                <w:p w14:paraId="5C72A3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排放浓度</w:t>
                  </w:r>
                </w:p>
                <w:p w14:paraId="6E9B87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（mg/m</w:t>
                  </w:r>
                  <w:r>
                    <w:rPr>
                      <w:rFonts w:hint="default" w:ascii="Times New Roman" w:hAnsi="Times New Roman" w:eastAsia="宋体" w:cs="Times New Roman"/>
                      <w:color w:val="000000"/>
                      <w:sz w:val="18"/>
                      <w:szCs w:val="18"/>
                      <w:highlight w:val="none"/>
                      <w:vertAlign w:val="superscript"/>
                      <w:lang w:val="en-US" w:eastAsia="zh-CN"/>
                    </w:rPr>
                    <w:t>3</w:t>
                  </w:r>
                  <w:r>
                    <w:rPr>
                      <w:rFonts w:hint="default" w:ascii="Times New Roman" w:hAnsi="Times New Roman" w:eastAsia="宋体" w:cs="Times New Roman"/>
                      <w:color w:val="000000"/>
                      <w:sz w:val="18"/>
                      <w:szCs w:val="18"/>
                      <w:highlight w:val="none"/>
                    </w:rPr>
                    <w:t>）</w:t>
                  </w:r>
                </w:p>
              </w:tc>
              <w:tc>
                <w:tcPr>
                  <w:tcW w:w="446" w:type="pct"/>
                  <w:tcBorders>
                    <w:tl2br w:val="nil"/>
                    <w:tr2bl w:val="nil"/>
                  </w:tcBorders>
                  <w:noWrap w:val="0"/>
                  <w:vAlign w:val="center"/>
                </w:tcPr>
                <w:p w14:paraId="1E99746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排放</w:t>
                  </w:r>
                  <w:r>
                    <w:rPr>
                      <w:rFonts w:hint="default" w:ascii="Times New Roman" w:hAnsi="Times New Roman" w:eastAsia="宋体" w:cs="Times New Roman"/>
                      <w:color w:val="000000"/>
                      <w:sz w:val="18"/>
                      <w:szCs w:val="18"/>
                      <w:highlight w:val="none"/>
                      <w:lang w:eastAsia="zh-CN"/>
                    </w:rPr>
                    <w:t>速率</w:t>
                  </w:r>
                </w:p>
                <w:p w14:paraId="3DD3BD0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（kg/h）</w:t>
                  </w:r>
                </w:p>
              </w:tc>
              <w:tc>
                <w:tcPr>
                  <w:tcW w:w="376" w:type="pct"/>
                  <w:tcBorders>
                    <w:tl2br w:val="nil"/>
                    <w:tr2bl w:val="nil"/>
                  </w:tcBorders>
                  <w:noWrap w:val="0"/>
                  <w:vAlign w:val="center"/>
                </w:tcPr>
                <w:p w14:paraId="763540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eastAsia="zh-CN"/>
                    </w:rPr>
                    <w:t>排放量</w:t>
                  </w:r>
                  <w:r>
                    <w:rPr>
                      <w:rFonts w:hint="default" w:ascii="Times New Roman" w:hAnsi="Times New Roman" w:eastAsia="宋体" w:cs="Times New Roman"/>
                      <w:color w:val="000000"/>
                      <w:sz w:val="18"/>
                      <w:szCs w:val="18"/>
                      <w:highlight w:val="none"/>
                      <w:lang w:val="en-US" w:eastAsia="zh-CN"/>
                    </w:rPr>
                    <w:t>（t/a）</w:t>
                  </w:r>
                </w:p>
              </w:tc>
              <w:tc>
                <w:tcPr>
                  <w:tcW w:w="581" w:type="pct"/>
                  <w:vMerge w:val="continue"/>
                  <w:tcBorders>
                    <w:tl2br w:val="nil"/>
                    <w:tr2bl w:val="nil"/>
                  </w:tcBorders>
                  <w:noWrap w:val="0"/>
                  <w:vAlign w:val="center"/>
                </w:tcPr>
                <w:p w14:paraId="5A1683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lang w:eastAsia="zh-CN"/>
                    </w:rPr>
                  </w:pPr>
                </w:p>
              </w:tc>
            </w:tr>
            <w:tr w14:paraId="4559CB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01" w:type="pct"/>
                  <w:vMerge w:val="restart"/>
                  <w:tcBorders>
                    <w:tl2br w:val="nil"/>
                    <w:tr2bl w:val="nil"/>
                  </w:tcBorders>
                  <w:noWrap w:val="0"/>
                  <w:vAlign w:val="center"/>
                </w:tcPr>
                <w:p w14:paraId="2D7647FB">
                  <w:pPr>
                    <w:keepNext w:val="0"/>
                    <w:keepLines w:val="0"/>
                    <w:pageBreakBefore w:val="0"/>
                    <w:widowControl/>
                    <w:tabs>
                      <w:tab w:val="left" w:pos="367"/>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制版、调浆、丝印</w:t>
                  </w:r>
                </w:p>
              </w:tc>
              <w:tc>
                <w:tcPr>
                  <w:tcW w:w="349" w:type="pct"/>
                  <w:tcBorders>
                    <w:tl2br w:val="nil"/>
                    <w:tr2bl w:val="nil"/>
                  </w:tcBorders>
                  <w:noWrap w:val="0"/>
                  <w:vAlign w:val="center"/>
                </w:tcPr>
                <w:p w14:paraId="4CFD7872">
                  <w:pPr>
                    <w:keepNext w:val="0"/>
                    <w:keepLines w:val="0"/>
                    <w:pageBreakBefore w:val="0"/>
                    <w:widowControl/>
                    <w:tabs>
                      <w:tab w:val="left" w:pos="367"/>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DA00</w:t>
                  </w:r>
                  <w:r>
                    <w:rPr>
                      <w:rFonts w:hint="eastAsia" w:cs="Times New Roman"/>
                      <w:color w:val="000000"/>
                      <w:sz w:val="18"/>
                      <w:szCs w:val="18"/>
                      <w:highlight w:val="none"/>
                      <w:lang w:val="en-US" w:eastAsia="zh-CN"/>
                    </w:rPr>
                    <w:t>2</w:t>
                  </w:r>
                </w:p>
              </w:tc>
              <w:tc>
                <w:tcPr>
                  <w:tcW w:w="278" w:type="pct"/>
                  <w:tcBorders>
                    <w:tl2br w:val="nil"/>
                    <w:tr2bl w:val="nil"/>
                  </w:tcBorders>
                  <w:noWrap w:val="0"/>
                  <w:vAlign w:val="center"/>
                </w:tcPr>
                <w:p w14:paraId="0444A21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outlineLvl w:val="9"/>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非甲烷总烃</w:t>
                  </w:r>
                </w:p>
              </w:tc>
              <w:tc>
                <w:tcPr>
                  <w:tcW w:w="311" w:type="pct"/>
                  <w:tcBorders>
                    <w:tl2br w:val="nil"/>
                    <w:tr2bl w:val="nil"/>
                  </w:tcBorders>
                  <w:noWrap w:val="0"/>
                  <w:vAlign w:val="center"/>
                </w:tcPr>
                <w:p w14:paraId="7839DA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系数法</w:t>
                  </w:r>
                </w:p>
              </w:tc>
              <w:tc>
                <w:tcPr>
                  <w:tcW w:w="546" w:type="pct"/>
                  <w:tcBorders>
                    <w:tl2br w:val="nil"/>
                    <w:tr2bl w:val="nil"/>
                  </w:tcBorders>
                  <w:noWrap w:val="0"/>
                  <w:vAlign w:val="center"/>
                </w:tcPr>
                <w:p w14:paraId="6C4F689A">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5.4</w:t>
                  </w:r>
                </w:p>
              </w:tc>
              <w:tc>
                <w:tcPr>
                  <w:tcW w:w="445" w:type="pct"/>
                  <w:tcBorders>
                    <w:tl2br w:val="nil"/>
                    <w:tr2bl w:val="nil"/>
                  </w:tcBorders>
                  <w:noWrap w:val="0"/>
                  <w:vAlign w:val="center"/>
                </w:tcPr>
                <w:p w14:paraId="35849F94">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0.</w:t>
                  </w:r>
                  <w:r>
                    <w:rPr>
                      <w:rFonts w:hint="eastAsia" w:cs="Times New Roman"/>
                      <w:color w:val="000000"/>
                      <w:sz w:val="18"/>
                      <w:szCs w:val="18"/>
                      <w:highlight w:val="none"/>
                      <w:lang w:val="en-US" w:eastAsia="zh-CN"/>
                    </w:rPr>
                    <w:t>107</w:t>
                  </w:r>
                </w:p>
              </w:tc>
              <w:tc>
                <w:tcPr>
                  <w:tcW w:w="432" w:type="pct"/>
                  <w:tcBorders>
                    <w:tl2br w:val="nil"/>
                    <w:tr2bl w:val="nil"/>
                  </w:tcBorders>
                  <w:noWrap w:val="0"/>
                  <w:vAlign w:val="center"/>
                </w:tcPr>
                <w:p w14:paraId="58ADE453">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0.</w:t>
                  </w:r>
                  <w:r>
                    <w:rPr>
                      <w:rFonts w:hint="eastAsia" w:cs="Times New Roman"/>
                      <w:color w:val="000000"/>
                      <w:sz w:val="18"/>
                      <w:szCs w:val="18"/>
                      <w:highlight w:val="none"/>
                      <w:lang w:val="en-US" w:eastAsia="zh-CN"/>
                    </w:rPr>
                    <w:t>386</w:t>
                  </w:r>
                </w:p>
              </w:tc>
              <w:tc>
                <w:tcPr>
                  <w:tcW w:w="384" w:type="pct"/>
                  <w:tcBorders>
                    <w:tl2br w:val="nil"/>
                    <w:tr2bl w:val="nil"/>
                  </w:tcBorders>
                  <w:noWrap w:val="0"/>
                  <w:vAlign w:val="center"/>
                </w:tcPr>
                <w:p w14:paraId="589C3A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物料衡算法、系数法</w:t>
                  </w:r>
                </w:p>
              </w:tc>
              <w:tc>
                <w:tcPr>
                  <w:tcW w:w="547" w:type="pct"/>
                  <w:tcBorders>
                    <w:tl2br w:val="nil"/>
                    <w:tr2bl w:val="nil"/>
                  </w:tcBorders>
                  <w:noWrap w:val="0"/>
                  <w:vAlign w:val="center"/>
                </w:tcPr>
                <w:p w14:paraId="18449862">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2.7</w:t>
                  </w:r>
                </w:p>
              </w:tc>
              <w:tc>
                <w:tcPr>
                  <w:tcW w:w="446" w:type="pct"/>
                  <w:tcBorders>
                    <w:tl2br w:val="nil"/>
                    <w:tr2bl w:val="nil"/>
                  </w:tcBorders>
                  <w:noWrap w:val="0"/>
                  <w:vAlign w:val="center"/>
                </w:tcPr>
                <w:p w14:paraId="1A75E674">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0.0</w:t>
                  </w:r>
                  <w:r>
                    <w:rPr>
                      <w:rFonts w:hint="eastAsia" w:cs="Times New Roman"/>
                      <w:color w:val="000000"/>
                      <w:sz w:val="18"/>
                      <w:szCs w:val="18"/>
                      <w:highlight w:val="none"/>
                      <w:lang w:val="en-US" w:eastAsia="zh-CN"/>
                    </w:rPr>
                    <w:t>54</w:t>
                  </w:r>
                </w:p>
              </w:tc>
              <w:tc>
                <w:tcPr>
                  <w:tcW w:w="376" w:type="pct"/>
                  <w:tcBorders>
                    <w:tl2br w:val="nil"/>
                    <w:tr2bl w:val="nil"/>
                  </w:tcBorders>
                  <w:noWrap w:val="0"/>
                  <w:vAlign w:val="center"/>
                </w:tcPr>
                <w:p w14:paraId="38A55361">
                  <w:pPr>
                    <w:keepNext w:val="0"/>
                    <w:keepLines w:val="0"/>
                    <w:widowControl/>
                    <w:suppressLineNumbers w:val="0"/>
                    <w:jc w:val="center"/>
                    <w:textAlignment w:val="center"/>
                    <w:rPr>
                      <w:rFonts w:hint="default" w:ascii="Times New Roman" w:hAnsi="Times New Roman" w:eastAsia="宋体" w:cs="Times New Roman"/>
                      <w:b w:val="0"/>
                      <w:bCs w:val="0"/>
                      <w:color w:val="000000"/>
                      <w:spacing w:val="2"/>
                      <w:sz w:val="18"/>
                      <w:szCs w:val="18"/>
                      <w:highlight w:val="none"/>
                      <w:lang w:val="en-US" w:eastAsia="zh-CN"/>
                    </w:rPr>
                  </w:pPr>
                  <w:r>
                    <w:rPr>
                      <w:rFonts w:hint="eastAsia" w:ascii="Times New Roman" w:hAnsi="Times New Roman" w:eastAsia="宋体" w:cs="Times New Roman"/>
                      <w:b w:val="0"/>
                      <w:bCs w:val="0"/>
                      <w:color w:val="000000"/>
                      <w:spacing w:val="2"/>
                      <w:sz w:val="18"/>
                      <w:szCs w:val="18"/>
                      <w:highlight w:val="none"/>
                      <w:lang w:val="en-US" w:eastAsia="zh-CN"/>
                    </w:rPr>
                    <w:t>0.1</w:t>
                  </w:r>
                  <w:r>
                    <w:rPr>
                      <w:rFonts w:hint="eastAsia" w:cs="Times New Roman"/>
                      <w:b w:val="0"/>
                      <w:bCs w:val="0"/>
                      <w:color w:val="000000"/>
                      <w:spacing w:val="2"/>
                      <w:sz w:val="18"/>
                      <w:szCs w:val="18"/>
                      <w:highlight w:val="none"/>
                      <w:lang w:val="en-US" w:eastAsia="zh-CN"/>
                    </w:rPr>
                    <w:t>93</w:t>
                  </w:r>
                </w:p>
              </w:tc>
              <w:tc>
                <w:tcPr>
                  <w:tcW w:w="581" w:type="pct"/>
                  <w:tcBorders>
                    <w:tl2br w:val="nil"/>
                    <w:tr2bl w:val="nil"/>
                  </w:tcBorders>
                  <w:noWrap w:val="0"/>
                  <w:vAlign w:val="center"/>
                </w:tcPr>
                <w:p w14:paraId="4CD486F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color w:val="000000"/>
                      <w:sz w:val="18"/>
                      <w:szCs w:val="18"/>
                      <w:highlight w:val="none"/>
                      <w:lang w:val="en-US" w:eastAsia="zh-CN"/>
                    </w:rPr>
                    <w:t>2</w:t>
                  </w:r>
                  <w:r>
                    <w:rPr>
                      <w:rFonts w:hint="eastAsia" w:ascii="Times New Roman" w:hAnsi="Times New Roman" w:eastAsia="宋体" w:cs="Times New Roman"/>
                      <w:color w:val="000000"/>
                      <w:sz w:val="18"/>
                      <w:szCs w:val="18"/>
                      <w:highlight w:val="none"/>
                      <w:lang w:val="en-US" w:eastAsia="zh-CN"/>
                    </w:rPr>
                    <w:t>0000m</w:t>
                  </w:r>
                  <w:r>
                    <w:rPr>
                      <w:rFonts w:hint="eastAsia" w:ascii="Times New Roman" w:hAnsi="Times New Roman" w:eastAsia="宋体" w:cs="Times New Roman"/>
                      <w:color w:val="000000"/>
                      <w:sz w:val="18"/>
                      <w:szCs w:val="18"/>
                      <w:highlight w:val="none"/>
                      <w:vertAlign w:val="superscript"/>
                      <w:lang w:val="en-US" w:eastAsia="zh-CN"/>
                    </w:rPr>
                    <w:t>3</w:t>
                  </w:r>
                  <w:r>
                    <w:rPr>
                      <w:rFonts w:hint="eastAsia" w:ascii="Times New Roman" w:hAnsi="Times New Roman" w:eastAsia="宋体" w:cs="Times New Roman"/>
                      <w:color w:val="000000"/>
                      <w:sz w:val="18"/>
                      <w:szCs w:val="18"/>
                      <w:highlight w:val="none"/>
                      <w:vertAlign w:val="baseline"/>
                      <w:lang w:val="en-US" w:eastAsia="zh-CN"/>
                    </w:rPr>
                    <w:t>/h</w:t>
                  </w:r>
                </w:p>
              </w:tc>
            </w:tr>
            <w:tr w14:paraId="7DF69D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01" w:type="pct"/>
                  <w:vMerge w:val="continue"/>
                  <w:tcBorders>
                    <w:tl2br w:val="nil"/>
                    <w:tr2bl w:val="nil"/>
                  </w:tcBorders>
                  <w:noWrap w:val="0"/>
                  <w:vAlign w:val="center"/>
                </w:tcPr>
                <w:p w14:paraId="53FFFB0B">
                  <w:pPr>
                    <w:keepNext w:val="0"/>
                    <w:keepLines w:val="0"/>
                    <w:pageBreakBefore w:val="0"/>
                    <w:widowControl/>
                    <w:tabs>
                      <w:tab w:val="left" w:pos="367"/>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18"/>
                      <w:szCs w:val="18"/>
                      <w:highlight w:val="none"/>
                      <w:lang w:val="en-US" w:eastAsia="zh-CN"/>
                    </w:rPr>
                  </w:pPr>
                </w:p>
              </w:tc>
              <w:tc>
                <w:tcPr>
                  <w:tcW w:w="349" w:type="pct"/>
                  <w:tcBorders>
                    <w:tl2br w:val="nil"/>
                    <w:tr2bl w:val="nil"/>
                  </w:tcBorders>
                  <w:noWrap w:val="0"/>
                  <w:vAlign w:val="center"/>
                </w:tcPr>
                <w:p w14:paraId="2980C632">
                  <w:pPr>
                    <w:keepNext w:val="0"/>
                    <w:keepLines w:val="0"/>
                    <w:pageBreakBefore w:val="0"/>
                    <w:widowControl/>
                    <w:tabs>
                      <w:tab w:val="left" w:pos="367"/>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无组织</w:t>
                  </w:r>
                </w:p>
              </w:tc>
              <w:tc>
                <w:tcPr>
                  <w:tcW w:w="278" w:type="pct"/>
                  <w:tcBorders>
                    <w:tl2br w:val="nil"/>
                    <w:tr2bl w:val="nil"/>
                  </w:tcBorders>
                  <w:noWrap w:val="0"/>
                  <w:vAlign w:val="center"/>
                </w:tcPr>
                <w:p w14:paraId="5BECF1D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非甲烷总烃</w:t>
                  </w:r>
                </w:p>
              </w:tc>
              <w:tc>
                <w:tcPr>
                  <w:tcW w:w="311" w:type="pct"/>
                  <w:tcBorders>
                    <w:tl2br w:val="nil"/>
                    <w:tr2bl w:val="nil"/>
                  </w:tcBorders>
                  <w:noWrap w:val="0"/>
                  <w:vAlign w:val="center"/>
                </w:tcPr>
                <w:p w14:paraId="51B2D00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c>
                <w:tcPr>
                  <w:tcW w:w="546" w:type="pct"/>
                  <w:tcBorders>
                    <w:tl2br w:val="nil"/>
                    <w:tr2bl w:val="nil"/>
                  </w:tcBorders>
                  <w:noWrap w:val="0"/>
                  <w:vAlign w:val="center"/>
                </w:tcPr>
                <w:p w14:paraId="50688F3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c>
                <w:tcPr>
                  <w:tcW w:w="445" w:type="pct"/>
                  <w:tcBorders>
                    <w:tl2br w:val="nil"/>
                    <w:tr2bl w:val="nil"/>
                  </w:tcBorders>
                  <w:noWrap w:val="0"/>
                  <w:vAlign w:val="center"/>
                </w:tcPr>
                <w:p w14:paraId="7E5E8A86">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0.0</w:t>
                  </w:r>
                  <w:r>
                    <w:rPr>
                      <w:rFonts w:hint="eastAsia" w:cs="Times New Roman"/>
                      <w:color w:val="000000"/>
                      <w:sz w:val="18"/>
                      <w:szCs w:val="18"/>
                      <w:highlight w:val="none"/>
                      <w:lang w:val="en-US" w:eastAsia="zh-CN"/>
                    </w:rPr>
                    <w:t>27</w:t>
                  </w:r>
                </w:p>
              </w:tc>
              <w:tc>
                <w:tcPr>
                  <w:tcW w:w="432" w:type="pct"/>
                  <w:tcBorders>
                    <w:tl2br w:val="nil"/>
                    <w:tr2bl w:val="nil"/>
                  </w:tcBorders>
                  <w:noWrap w:val="0"/>
                  <w:vAlign w:val="center"/>
                </w:tcPr>
                <w:p w14:paraId="772FBF0C">
                  <w:pPr>
                    <w:keepNext w:val="0"/>
                    <w:keepLines w:val="0"/>
                    <w:widowControl/>
                    <w:suppressLineNumbers w:val="0"/>
                    <w:jc w:val="center"/>
                    <w:textAlignment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0.</w:t>
                  </w:r>
                  <w:r>
                    <w:rPr>
                      <w:rFonts w:hint="eastAsia" w:cs="Times New Roman"/>
                      <w:color w:val="000000"/>
                      <w:sz w:val="18"/>
                      <w:szCs w:val="18"/>
                      <w:highlight w:val="none"/>
                      <w:lang w:val="en-US" w:eastAsia="zh-CN"/>
                    </w:rPr>
                    <w:t>0975</w:t>
                  </w:r>
                </w:p>
              </w:tc>
              <w:tc>
                <w:tcPr>
                  <w:tcW w:w="384" w:type="pct"/>
                  <w:tcBorders>
                    <w:tl2br w:val="nil"/>
                    <w:tr2bl w:val="nil"/>
                  </w:tcBorders>
                  <w:noWrap w:val="0"/>
                  <w:vAlign w:val="center"/>
                </w:tcPr>
                <w:p w14:paraId="184789B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物料衡算法</w:t>
                  </w:r>
                </w:p>
              </w:tc>
              <w:tc>
                <w:tcPr>
                  <w:tcW w:w="547" w:type="pct"/>
                  <w:tcBorders>
                    <w:tl2br w:val="nil"/>
                    <w:tr2bl w:val="nil"/>
                  </w:tcBorders>
                  <w:noWrap w:val="0"/>
                  <w:vAlign w:val="center"/>
                </w:tcPr>
                <w:p w14:paraId="2924C2E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w:t>
                  </w:r>
                </w:p>
              </w:tc>
              <w:tc>
                <w:tcPr>
                  <w:tcW w:w="446" w:type="pct"/>
                  <w:tcBorders>
                    <w:tl2br w:val="nil"/>
                    <w:tr2bl w:val="nil"/>
                  </w:tcBorders>
                  <w:noWrap w:val="0"/>
                  <w:vAlign w:val="center"/>
                </w:tcPr>
                <w:p w14:paraId="157FFE56">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sz w:val="18"/>
                      <w:szCs w:val="18"/>
                      <w:highlight w:val="none"/>
                      <w:lang w:val="en-US" w:eastAsia="zh-CN"/>
                    </w:rPr>
                    <w:t>0.0</w:t>
                  </w:r>
                  <w:r>
                    <w:rPr>
                      <w:rFonts w:hint="eastAsia" w:cs="Times New Roman"/>
                      <w:color w:val="000000"/>
                      <w:sz w:val="18"/>
                      <w:szCs w:val="18"/>
                      <w:highlight w:val="none"/>
                      <w:lang w:val="en-US" w:eastAsia="zh-CN"/>
                    </w:rPr>
                    <w:t>27</w:t>
                  </w:r>
                </w:p>
              </w:tc>
              <w:tc>
                <w:tcPr>
                  <w:tcW w:w="376" w:type="pct"/>
                  <w:tcBorders>
                    <w:tl2br w:val="nil"/>
                    <w:tr2bl w:val="nil"/>
                  </w:tcBorders>
                  <w:noWrap w:val="0"/>
                  <w:vAlign w:val="center"/>
                </w:tcPr>
                <w:p w14:paraId="69B96539">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sz w:val="18"/>
                      <w:szCs w:val="18"/>
                      <w:highlight w:val="none"/>
                      <w:lang w:val="en-US" w:eastAsia="zh-CN"/>
                    </w:rPr>
                    <w:t>0.0</w:t>
                  </w:r>
                  <w:r>
                    <w:rPr>
                      <w:rFonts w:hint="eastAsia" w:cs="Times New Roman"/>
                      <w:color w:val="000000"/>
                      <w:sz w:val="18"/>
                      <w:szCs w:val="18"/>
                      <w:highlight w:val="none"/>
                      <w:lang w:val="en-US" w:eastAsia="zh-CN"/>
                    </w:rPr>
                    <w:t>97</w:t>
                  </w:r>
                  <w:r>
                    <w:rPr>
                      <w:rFonts w:hint="eastAsia" w:ascii="Times New Roman" w:hAnsi="Times New Roman" w:eastAsia="宋体" w:cs="Times New Roman"/>
                      <w:color w:val="000000"/>
                      <w:sz w:val="18"/>
                      <w:szCs w:val="18"/>
                      <w:highlight w:val="none"/>
                      <w:lang w:val="en-US" w:eastAsia="zh-CN"/>
                    </w:rPr>
                    <w:t>5</w:t>
                  </w:r>
                </w:p>
              </w:tc>
              <w:tc>
                <w:tcPr>
                  <w:tcW w:w="581" w:type="pct"/>
                  <w:tcBorders>
                    <w:tl2br w:val="nil"/>
                    <w:tr2bl w:val="nil"/>
                  </w:tcBorders>
                  <w:noWrap w:val="0"/>
                  <w:vAlign w:val="center"/>
                </w:tcPr>
                <w:p w14:paraId="313B0E1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w:t>
                  </w:r>
                </w:p>
              </w:tc>
            </w:tr>
          </w:tbl>
          <w:p w14:paraId="77FDC375">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color w:val="000000"/>
                <w:sz w:val="24"/>
                <w:highlight w:val="none"/>
              </w:rPr>
            </w:pPr>
          </w:p>
          <w:p w14:paraId="121564B1">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color w:val="000000"/>
                <w:sz w:val="24"/>
                <w:highlight w:val="none"/>
              </w:rPr>
            </w:pPr>
          </w:p>
          <w:p w14:paraId="461CC241">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color w:val="000000"/>
                <w:sz w:val="24"/>
                <w:highlight w:val="none"/>
              </w:rPr>
            </w:pPr>
          </w:p>
          <w:p w14:paraId="666B7C40">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color w:val="000000"/>
                <w:sz w:val="24"/>
                <w:highlight w:val="none"/>
              </w:rPr>
            </w:pPr>
          </w:p>
          <w:p w14:paraId="0813740B">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b/>
                <w:bCs/>
                <w:color w:val="000000"/>
                <w:sz w:val="24"/>
                <w:highlight w:val="none"/>
              </w:rPr>
              <w:t>表4-</w:t>
            </w:r>
            <w:r>
              <w:rPr>
                <w:rFonts w:hint="eastAsia" w:cs="Times New Roman"/>
                <w:b/>
                <w:bCs/>
                <w:color w:val="000000"/>
                <w:sz w:val="24"/>
                <w:highlight w:val="none"/>
                <w:lang w:val="en-US" w:eastAsia="zh-CN"/>
              </w:rPr>
              <w:t>4</w:t>
            </w:r>
            <w:r>
              <w:rPr>
                <w:rFonts w:hint="default" w:ascii="Times New Roman" w:hAnsi="Times New Roman" w:eastAsia="宋体" w:cs="Times New Roman"/>
                <w:b/>
                <w:color w:val="000000"/>
                <w:sz w:val="24"/>
                <w:szCs w:val="24"/>
                <w:highlight w:val="none"/>
              </w:rPr>
              <w:t>项目</w:t>
            </w:r>
            <w:r>
              <w:rPr>
                <w:rFonts w:hint="default" w:ascii="Times New Roman" w:hAnsi="Times New Roman" w:eastAsia="宋体" w:cs="Times New Roman"/>
                <w:b/>
                <w:color w:val="000000"/>
                <w:sz w:val="24"/>
                <w:szCs w:val="24"/>
                <w:highlight w:val="none"/>
                <w:lang w:eastAsia="zh-CN"/>
              </w:rPr>
              <w:t>废气排放口基本情况</w:t>
            </w:r>
            <w:r>
              <w:rPr>
                <w:rFonts w:hint="default" w:ascii="Times New Roman" w:hAnsi="Times New Roman" w:eastAsia="宋体" w:cs="Times New Roman"/>
                <w:b/>
                <w:color w:val="000000"/>
                <w:sz w:val="24"/>
                <w:szCs w:val="24"/>
                <w:highlight w:val="none"/>
              </w:rPr>
              <w:t>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32"/>
              <w:gridCol w:w="662"/>
              <w:gridCol w:w="970"/>
              <w:gridCol w:w="965"/>
              <w:gridCol w:w="1081"/>
              <w:gridCol w:w="1361"/>
              <w:gridCol w:w="1255"/>
              <w:gridCol w:w="793"/>
            </w:tblGrid>
            <w:tr w14:paraId="0713E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8" w:type="pct"/>
                  <w:vMerge w:val="restart"/>
                  <w:noWrap w:val="0"/>
                  <w:vAlign w:val="center"/>
                </w:tcPr>
                <w:p w14:paraId="51631A6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排气筒</w:t>
                  </w:r>
                </w:p>
                <w:p w14:paraId="4F79BE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编号</w:t>
                  </w:r>
                </w:p>
              </w:tc>
              <w:tc>
                <w:tcPr>
                  <w:tcW w:w="423" w:type="pct"/>
                  <w:vMerge w:val="restart"/>
                  <w:noWrap w:val="0"/>
                  <w:vAlign w:val="center"/>
                </w:tcPr>
                <w:p w14:paraId="6BB37E8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污染物名称</w:t>
                  </w:r>
                </w:p>
              </w:tc>
              <w:tc>
                <w:tcPr>
                  <w:tcW w:w="620" w:type="pct"/>
                  <w:vMerge w:val="restart"/>
                  <w:noWrap w:val="0"/>
                  <w:vAlign w:val="center"/>
                </w:tcPr>
                <w:p w14:paraId="757B90F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污染因子</w:t>
                  </w:r>
                </w:p>
              </w:tc>
              <w:tc>
                <w:tcPr>
                  <w:tcW w:w="617" w:type="pct"/>
                  <w:vMerge w:val="restart"/>
                  <w:noWrap w:val="0"/>
                  <w:vAlign w:val="center"/>
                </w:tcPr>
                <w:p w14:paraId="6BE2B1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排气筒高度（m）</w:t>
                  </w:r>
                </w:p>
              </w:tc>
              <w:tc>
                <w:tcPr>
                  <w:tcW w:w="691" w:type="pct"/>
                  <w:vMerge w:val="restart"/>
                  <w:noWrap w:val="0"/>
                  <w:vAlign w:val="center"/>
                </w:tcPr>
                <w:p w14:paraId="7E58F5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排气筒内径（m）</w:t>
                  </w:r>
                </w:p>
              </w:tc>
              <w:tc>
                <w:tcPr>
                  <w:tcW w:w="1672" w:type="pct"/>
                  <w:gridSpan w:val="2"/>
                  <w:noWrap w:val="0"/>
                  <w:vAlign w:val="center"/>
                </w:tcPr>
                <w:p w14:paraId="56E505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排放口地理坐标</w:t>
                  </w:r>
                </w:p>
              </w:tc>
              <w:tc>
                <w:tcPr>
                  <w:tcW w:w="507" w:type="pct"/>
                  <w:vMerge w:val="restart"/>
                  <w:noWrap w:val="0"/>
                  <w:vAlign w:val="center"/>
                </w:tcPr>
                <w:p w14:paraId="61BB417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烟气温度（℃）</w:t>
                  </w:r>
                </w:p>
              </w:tc>
            </w:tr>
            <w:tr w14:paraId="55953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8" w:type="pct"/>
                  <w:vMerge w:val="continue"/>
                  <w:noWrap w:val="0"/>
                  <w:vAlign w:val="center"/>
                </w:tcPr>
                <w:p w14:paraId="66E6C1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000000"/>
                      <w:sz w:val="21"/>
                      <w:szCs w:val="21"/>
                      <w:highlight w:val="none"/>
                    </w:rPr>
                  </w:pPr>
                </w:p>
              </w:tc>
              <w:tc>
                <w:tcPr>
                  <w:tcW w:w="423" w:type="pct"/>
                  <w:vMerge w:val="continue"/>
                  <w:noWrap w:val="0"/>
                  <w:vAlign w:val="center"/>
                </w:tcPr>
                <w:p w14:paraId="126AA9A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000000"/>
                      <w:sz w:val="21"/>
                      <w:szCs w:val="21"/>
                      <w:highlight w:val="none"/>
                    </w:rPr>
                  </w:pPr>
                </w:p>
              </w:tc>
              <w:tc>
                <w:tcPr>
                  <w:tcW w:w="620" w:type="pct"/>
                  <w:vMerge w:val="continue"/>
                  <w:noWrap w:val="0"/>
                  <w:vAlign w:val="center"/>
                </w:tcPr>
                <w:p w14:paraId="788472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000000"/>
                      <w:sz w:val="21"/>
                      <w:szCs w:val="21"/>
                      <w:highlight w:val="none"/>
                    </w:rPr>
                  </w:pPr>
                </w:p>
              </w:tc>
              <w:tc>
                <w:tcPr>
                  <w:tcW w:w="617" w:type="pct"/>
                  <w:vMerge w:val="continue"/>
                  <w:noWrap w:val="0"/>
                  <w:vAlign w:val="center"/>
                </w:tcPr>
                <w:p w14:paraId="4D5673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000000"/>
                      <w:sz w:val="21"/>
                      <w:szCs w:val="21"/>
                      <w:highlight w:val="none"/>
                    </w:rPr>
                  </w:pPr>
                </w:p>
              </w:tc>
              <w:tc>
                <w:tcPr>
                  <w:tcW w:w="691" w:type="pct"/>
                  <w:vMerge w:val="continue"/>
                  <w:noWrap w:val="0"/>
                  <w:vAlign w:val="center"/>
                </w:tcPr>
                <w:p w14:paraId="0A65304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000000"/>
                      <w:sz w:val="21"/>
                      <w:szCs w:val="21"/>
                      <w:highlight w:val="none"/>
                    </w:rPr>
                  </w:pPr>
                </w:p>
              </w:tc>
              <w:tc>
                <w:tcPr>
                  <w:tcW w:w="870" w:type="pct"/>
                  <w:noWrap w:val="0"/>
                  <w:vAlign w:val="center"/>
                </w:tcPr>
                <w:p w14:paraId="0275600B">
                  <w:pPr>
                    <w:pStyle w:val="83"/>
                    <w:ind w:left="0" w:leftChars="0" w:right="0" w:rightChars="0"/>
                    <w:rPr>
                      <w:color w:val="000000"/>
                      <w:szCs w:val="21"/>
                      <w:highlight w:val="none"/>
                    </w:rPr>
                  </w:pPr>
                  <w:r>
                    <w:rPr>
                      <w:rFonts w:hint="default" w:ascii="Times New Roman" w:hAnsi="Times New Roman" w:eastAsia="宋体" w:cs="Times New Roman"/>
                      <w:color w:val="000000"/>
                      <w:szCs w:val="21"/>
                      <w:highlight w:val="none"/>
                    </w:rPr>
                    <w:t>经度</w:t>
                  </w:r>
                </w:p>
              </w:tc>
              <w:tc>
                <w:tcPr>
                  <w:tcW w:w="802" w:type="pct"/>
                  <w:noWrap w:val="0"/>
                  <w:vAlign w:val="center"/>
                </w:tcPr>
                <w:p w14:paraId="2B80BBB7">
                  <w:pPr>
                    <w:pStyle w:val="83"/>
                    <w:ind w:left="0" w:leftChars="0" w:right="0" w:rightChars="0"/>
                    <w:rPr>
                      <w:color w:val="000000"/>
                      <w:szCs w:val="21"/>
                      <w:highlight w:val="none"/>
                    </w:rPr>
                  </w:pPr>
                  <w:r>
                    <w:rPr>
                      <w:rFonts w:hint="default" w:ascii="Times New Roman" w:hAnsi="Times New Roman" w:eastAsia="宋体" w:cs="Times New Roman"/>
                      <w:color w:val="000000"/>
                      <w:szCs w:val="21"/>
                      <w:highlight w:val="none"/>
                    </w:rPr>
                    <w:t>纬度</w:t>
                  </w:r>
                </w:p>
              </w:tc>
              <w:tc>
                <w:tcPr>
                  <w:tcW w:w="507" w:type="pct"/>
                  <w:vMerge w:val="continue"/>
                  <w:noWrap w:val="0"/>
                  <w:vAlign w:val="center"/>
                </w:tcPr>
                <w:p w14:paraId="6846BED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000000"/>
                      <w:sz w:val="21"/>
                      <w:szCs w:val="21"/>
                      <w:highlight w:val="none"/>
                    </w:rPr>
                  </w:pPr>
                </w:p>
              </w:tc>
            </w:tr>
            <w:tr w14:paraId="6017E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468" w:type="pct"/>
                  <w:vMerge w:val="restart"/>
                  <w:noWrap w:val="0"/>
                  <w:vAlign w:val="center"/>
                </w:tcPr>
                <w:p w14:paraId="342C4B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DA00</w:t>
                  </w:r>
                  <w:r>
                    <w:rPr>
                      <w:rFonts w:hint="eastAsia" w:cs="Times New Roman"/>
                      <w:color w:val="000000"/>
                      <w:sz w:val="21"/>
                      <w:szCs w:val="21"/>
                      <w:highlight w:val="none"/>
                      <w:lang w:val="en-US" w:eastAsia="zh-CN"/>
                    </w:rPr>
                    <w:t>1</w:t>
                  </w:r>
                </w:p>
              </w:tc>
              <w:tc>
                <w:tcPr>
                  <w:tcW w:w="423" w:type="pct"/>
                  <w:vMerge w:val="restart"/>
                  <w:noWrap w:val="0"/>
                  <w:vAlign w:val="center"/>
                </w:tcPr>
                <w:p w14:paraId="371A5D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b w:val="0"/>
                      <w:bCs w:val="0"/>
                      <w:color w:val="000000"/>
                      <w:sz w:val="21"/>
                      <w:szCs w:val="21"/>
                      <w:highlight w:val="none"/>
                      <w:lang w:val="en-US" w:eastAsia="zh-CN"/>
                    </w:rPr>
                    <w:t>液化石油气废气</w:t>
                  </w:r>
                </w:p>
              </w:tc>
              <w:tc>
                <w:tcPr>
                  <w:tcW w:w="620" w:type="pct"/>
                  <w:noWrap w:val="0"/>
                  <w:vAlign w:val="center"/>
                </w:tcPr>
                <w:p w14:paraId="1464450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eastAsia" w:cs="Times New Roman"/>
                      <w:color w:val="000000"/>
                      <w:sz w:val="21"/>
                      <w:szCs w:val="21"/>
                      <w:highlight w:val="none"/>
                      <w:lang w:eastAsia="zh-CN"/>
                    </w:rPr>
                    <w:t>二氧化硫</w:t>
                  </w:r>
                </w:p>
              </w:tc>
              <w:tc>
                <w:tcPr>
                  <w:tcW w:w="617" w:type="pct"/>
                  <w:vMerge w:val="restart"/>
                  <w:noWrap w:val="0"/>
                  <w:vAlign w:val="center"/>
                </w:tcPr>
                <w:p w14:paraId="10D6C8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w:t>
                  </w:r>
                  <w:r>
                    <w:rPr>
                      <w:rFonts w:hint="eastAsia" w:cs="Times New Roman"/>
                      <w:color w:val="000000"/>
                      <w:sz w:val="21"/>
                      <w:szCs w:val="21"/>
                      <w:highlight w:val="none"/>
                      <w:lang w:val="en-US" w:eastAsia="zh-CN"/>
                    </w:rPr>
                    <w:t>0</w:t>
                  </w:r>
                </w:p>
              </w:tc>
              <w:tc>
                <w:tcPr>
                  <w:tcW w:w="691" w:type="pct"/>
                  <w:vMerge w:val="restart"/>
                  <w:noWrap w:val="0"/>
                  <w:vAlign w:val="center"/>
                </w:tcPr>
                <w:p w14:paraId="6FEA27C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0.6</w:t>
                  </w:r>
                </w:p>
              </w:tc>
              <w:tc>
                <w:tcPr>
                  <w:tcW w:w="870" w:type="pct"/>
                  <w:vMerge w:val="restart"/>
                  <w:noWrap w:val="0"/>
                  <w:vAlign w:val="center"/>
                </w:tcPr>
                <w:p w14:paraId="2F673F6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spacing w:val="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118°3</w:t>
                  </w:r>
                  <w:r>
                    <w:rPr>
                      <w:rFonts w:hint="eastAsia" w:ascii="Times New Roman" w:hAnsi="Times New Roman" w:eastAsia="宋体" w:cs="Times New Roman"/>
                      <w:color w:val="000000"/>
                      <w:sz w:val="21"/>
                      <w:szCs w:val="21"/>
                      <w:highlight w:val="none"/>
                      <w:lang w:val="en-US" w:eastAsia="zh-CN"/>
                    </w:rPr>
                    <w:t>0</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58.</w:t>
                  </w:r>
                  <w:r>
                    <w:rPr>
                      <w:rFonts w:hint="eastAsia" w:cs="Times New Roman"/>
                      <w:color w:val="000000"/>
                      <w:sz w:val="21"/>
                      <w:szCs w:val="21"/>
                      <w:highlight w:val="none"/>
                      <w:lang w:val="en-US" w:eastAsia="zh-CN"/>
                    </w:rPr>
                    <w:t>42</w:t>
                  </w:r>
                  <w:r>
                    <w:rPr>
                      <w:rFonts w:hint="default" w:ascii="Times New Roman" w:hAnsi="Times New Roman" w:eastAsia="宋体" w:cs="Times New Roman"/>
                      <w:color w:val="000000"/>
                      <w:sz w:val="21"/>
                      <w:szCs w:val="21"/>
                      <w:highlight w:val="none"/>
                      <w:lang w:val="en-US" w:eastAsia="zh-CN"/>
                    </w:rPr>
                    <w:t>″</w:t>
                  </w:r>
                </w:p>
              </w:tc>
              <w:tc>
                <w:tcPr>
                  <w:tcW w:w="802" w:type="pct"/>
                  <w:vMerge w:val="restart"/>
                  <w:noWrap w:val="0"/>
                  <w:vAlign w:val="center"/>
                </w:tcPr>
                <w:p w14:paraId="48ADFA4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24°</w:t>
                  </w:r>
                  <w:r>
                    <w:rPr>
                      <w:rFonts w:hint="eastAsia" w:ascii="Times New Roman" w:hAnsi="Times New Roman" w:eastAsia="宋体" w:cs="Times New Roman"/>
                      <w:color w:val="000000"/>
                      <w:sz w:val="21"/>
                      <w:szCs w:val="21"/>
                      <w:highlight w:val="none"/>
                      <w:lang w:val="en-US" w:eastAsia="zh-CN"/>
                    </w:rPr>
                    <w:t>54</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28.</w:t>
                  </w:r>
                  <w:r>
                    <w:rPr>
                      <w:rFonts w:hint="eastAsia" w:cs="Times New Roman"/>
                      <w:color w:val="000000"/>
                      <w:sz w:val="21"/>
                      <w:szCs w:val="21"/>
                      <w:highlight w:val="none"/>
                      <w:lang w:val="en-US" w:eastAsia="zh-CN"/>
                    </w:rPr>
                    <w:t>98</w:t>
                  </w:r>
                  <w:r>
                    <w:rPr>
                      <w:rFonts w:hint="default" w:ascii="Times New Roman" w:hAnsi="Times New Roman" w:eastAsia="宋体" w:cs="Times New Roman"/>
                      <w:color w:val="000000"/>
                      <w:sz w:val="21"/>
                      <w:szCs w:val="21"/>
                      <w:highlight w:val="none"/>
                      <w:lang w:val="en-US" w:eastAsia="zh-CN"/>
                    </w:rPr>
                    <w:t>″</w:t>
                  </w:r>
                </w:p>
              </w:tc>
              <w:tc>
                <w:tcPr>
                  <w:tcW w:w="507" w:type="pct"/>
                  <w:vMerge w:val="restart"/>
                  <w:noWrap w:val="0"/>
                  <w:vAlign w:val="center"/>
                </w:tcPr>
                <w:p w14:paraId="390D246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75</w:t>
                  </w:r>
                </w:p>
              </w:tc>
            </w:tr>
            <w:tr w14:paraId="06AB3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468" w:type="pct"/>
                  <w:vMerge w:val="continue"/>
                  <w:noWrap w:val="0"/>
                  <w:vAlign w:val="center"/>
                </w:tcPr>
                <w:p w14:paraId="17BCE04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highlight w:val="none"/>
                    </w:rPr>
                  </w:pPr>
                </w:p>
              </w:tc>
              <w:tc>
                <w:tcPr>
                  <w:tcW w:w="423" w:type="pct"/>
                  <w:vMerge w:val="continue"/>
                  <w:noWrap w:val="0"/>
                  <w:vAlign w:val="center"/>
                </w:tcPr>
                <w:p w14:paraId="48DADF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highlight w:val="none"/>
                    </w:rPr>
                  </w:pPr>
                </w:p>
              </w:tc>
              <w:tc>
                <w:tcPr>
                  <w:tcW w:w="620" w:type="pct"/>
                  <w:noWrap w:val="0"/>
                  <w:vAlign w:val="center"/>
                </w:tcPr>
                <w:p w14:paraId="06C1676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r>
                    <w:rPr>
                      <w:rFonts w:hint="eastAsia" w:cs="Times New Roman"/>
                      <w:color w:val="000000"/>
                      <w:sz w:val="21"/>
                      <w:szCs w:val="21"/>
                      <w:highlight w:val="none"/>
                      <w:lang w:eastAsia="zh-CN"/>
                    </w:rPr>
                    <w:t>氮氧化物</w:t>
                  </w:r>
                </w:p>
              </w:tc>
              <w:tc>
                <w:tcPr>
                  <w:tcW w:w="617" w:type="pct"/>
                  <w:vMerge w:val="continue"/>
                  <w:noWrap w:val="0"/>
                  <w:vAlign w:val="center"/>
                </w:tcPr>
                <w:p w14:paraId="4BAF79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c>
                <w:tcPr>
                  <w:tcW w:w="691" w:type="pct"/>
                  <w:vMerge w:val="continue"/>
                  <w:noWrap w:val="0"/>
                  <w:vAlign w:val="center"/>
                </w:tcPr>
                <w:p w14:paraId="584E903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c>
                <w:tcPr>
                  <w:tcW w:w="870" w:type="pct"/>
                  <w:vMerge w:val="continue"/>
                  <w:noWrap w:val="0"/>
                  <w:vAlign w:val="center"/>
                </w:tcPr>
                <w:p w14:paraId="2857E3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c>
                <w:tcPr>
                  <w:tcW w:w="802" w:type="pct"/>
                  <w:vMerge w:val="continue"/>
                  <w:noWrap w:val="0"/>
                  <w:vAlign w:val="center"/>
                </w:tcPr>
                <w:p w14:paraId="543C11F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c>
                <w:tcPr>
                  <w:tcW w:w="507" w:type="pct"/>
                  <w:vMerge w:val="continue"/>
                  <w:noWrap w:val="0"/>
                  <w:vAlign w:val="center"/>
                </w:tcPr>
                <w:p w14:paraId="0B22FF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r>
            <w:tr w14:paraId="495AC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468" w:type="pct"/>
                  <w:vMerge w:val="continue"/>
                  <w:noWrap w:val="0"/>
                  <w:vAlign w:val="center"/>
                </w:tcPr>
                <w:p w14:paraId="25CA97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c>
                <w:tcPr>
                  <w:tcW w:w="423" w:type="pct"/>
                  <w:vMerge w:val="continue"/>
                  <w:noWrap w:val="0"/>
                  <w:vAlign w:val="center"/>
                </w:tcPr>
                <w:p w14:paraId="140CD6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c>
                <w:tcPr>
                  <w:tcW w:w="620" w:type="pct"/>
                  <w:noWrap w:val="0"/>
                  <w:vAlign w:val="center"/>
                </w:tcPr>
                <w:p w14:paraId="09E1C3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r>
                    <w:rPr>
                      <w:rFonts w:hint="eastAsia" w:cs="Times New Roman"/>
                      <w:color w:val="000000"/>
                      <w:sz w:val="21"/>
                      <w:szCs w:val="21"/>
                      <w:highlight w:val="none"/>
                      <w:lang w:eastAsia="zh-CN"/>
                    </w:rPr>
                    <w:t>颗粒物</w:t>
                  </w:r>
                </w:p>
              </w:tc>
              <w:tc>
                <w:tcPr>
                  <w:tcW w:w="617" w:type="pct"/>
                  <w:vMerge w:val="continue"/>
                  <w:noWrap w:val="0"/>
                  <w:vAlign w:val="center"/>
                </w:tcPr>
                <w:p w14:paraId="737DA7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c>
                <w:tcPr>
                  <w:tcW w:w="691" w:type="pct"/>
                  <w:vMerge w:val="continue"/>
                  <w:noWrap w:val="0"/>
                  <w:vAlign w:val="center"/>
                </w:tcPr>
                <w:p w14:paraId="37AFE91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c>
                <w:tcPr>
                  <w:tcW w:w="870" w:type="pct"/>
                  <w:vMerge w:val="continue"/>
                  <w:noWrap w:val="0"/>
                  <w:vAlign w:val="center"/>
                </w:tcPr>
                <w:p w14:paraId="6316DBC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c>
                <w:tcPr>
                  <w:tcW w:w="802" w:type="pct"/>
                  <w:vMerge w:val="continue"/>
                  <w:noWrap w:val="0"/>
                  <w:vAlign w:val="center"/>
                </w:tcPr>
                <w:p w14:paraId="5F590C3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c>
                <w:tcPr>
                  <w:tcW w:w="507" w:type="pct"/>
                  <w:vMerge w:val="continue"/>
                  <w:noWrap w:val="0"/>
                  <w:vAlign w:val="center"/>
                </w:tcPr>
                <w:p w14:paraId="2BA9D86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sz w:val="21"/>
                      <w:szCs w:val="21"/>
                      <w:highlight w:val="none"/>
                      <w:lang w:eastAsia="zh-CN"/>
                    </w:rPr>
                  </w:pPr>
                </w:p>
              </w:tc>
            </w:tr>
            <w:tr w14:paraId="0667D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8" w:type="pct"/>
                  <w:noWrap w:val="0"/>
                  <w:vAlign w:val="center"/>
                </w:tcPr>
                <w:p w14:paraId="385FD94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DA00</w:t>
                  </w:r>
                  <w:r>
                    <w:rPr>
                      <w:rFonts w:hint="eastAsia" w:ascii="Times New Roman" w:hAnsi="Times New Roman" w:eastAsia="宋体" w:cs="Times New Roman"/>
                      <w:color w:val="000000"/>
                      <w:sz w:val="21"/>
                      <w:szCs w:val="21"/>
                      <w:highlight w:val="none"/>
                      <w:lang w:val="en-US" w:eastAsia="zh-CN"/>
                    </w:rPr>
                    <w:t>2</w:t>
                  </w:r>
                </w:p>
              </w:tc>
              <w:tc>
                <w:tcPr>
                  <w:tcW w:w="423" w:type="pct"/>
                  <w:noWrap w:val="0"/>
                  <w:vAlign w:val="center"/>
                </w:tcPr>
                <w:p w14:paraId="50AE86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rPr>
                    <w:t>有机废气</w:t>
                  </w:r>
                </w:p>
              </w:tc>
              <w:tc>
                <w:tcPr>
                  <w:tcW w:w="620" w:type="pct"/>
                  <w:noWrap w:val="0"/>
                  <w:vAlign w:val="center"/>
                </w:tcPr>
                <w:p w14:paraId="6DF266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eastAsia="zh-CN"/>
                    </w:rPr>
                    <w:t>非甲烷总烃</w:t>
                  </w:r>
                </w:p>
              </w:tc>
              <w:tc>
                <w:tcPr>
                  <w:tcW w:w="617" w:type="pct"/>
                  <w:noWrap w:val="0"/>
                  <w:vAlign w:val="center"/>
                </w:tcPr>
                <w:p w14:paraId="1E1844B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25</w:t>
                  </w:r>
                </w:p>
              </w:tc>
              <w:tc>
                <w:tcPr>
                  <w:tcW w:w="691" w:type="pct"/>
                  <w:noWrap w:val="0"/>
                  <w:vAlign w:val="center"/>
                </w:tcPr>
                <w:p w14:paraId="016CFC4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0.6</w:t>
                  </w:r>
                </w:p>
              </w:tc>
              <w:tc>
                <w:tcPr>
                  <w:tcW w:w="870" w:type="pct"/>
                  <w:noWrap w:val="0"/>
                  <w:vAlign w:val="center"/>
                </w:tcPr>
                <w:p w14:paraId="417EA3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spacing w:val="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118°3</w:t>
                  </w:r>
                  <w:r>
                    <w:rPr>
                      <w:rFonts w:hint="eastAsia" w:ascii="Times New Roman" w:hAnsi="Times New Roman" w:eastAsia="宋体" w:cs="Times New Roman"/>
                      <w:color w:val="000000"/>
                      <w:sz w:val="21"/>
                      <w:szCs w:val="21"/>
                      <w:highlight w:val="none"/>
                      <w:lang w:val="en-US" w:eastAsia="zh-CN"/>
                    </w:rPr>
                    <w:t>0</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58.22</w:t>
                  </w:r>
                  <w:r>
                    <w:rPr>
                      <w:rFonts w:hint="default" w:ascii="Times New Roman" w:hAnsi="Times New Roman" w:eastAsia="宋体" w:cs="Times New Roman"/>
                      <w:color w:val="000000"/>
                      <w:sz w:val="21"/>
                      <w:szCs w:val="21"/>
                      <w:highlight w:val="none"/>
                      <w:lang w:val="en-US" w:eastAsia="zh-CN"/>
                    </w:rPr>
                    <w:t>″</w:t>
                  </w:r>
                </w:p>
              </w:tc>
              <w:tc>
                <w:tcPr>
                  <w:tcW w:w="802" w:type="pct"/>
                  <w:noWrap w:val="0"/>
                  <w:vAlign w:val="center"/>
                </w:tcPr>
                <w:p w14:paraId="1222E1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24°</w:t>
                  </w:r>
                  <w:r>
                    <w:rPr>
                      <w:rFonts w:hint="eastAsia" w:ascii="Times New Roman" w:hAnsi="Times New Roman" w:eastAsia="宋体" w:cs="Times New Roman"/>
                      <w:color w:val="000000"/>
                      <w:sz w:val="21"/>
                      <w:szCs w:val="21"/>
                      <w:highlight w:val="none"/>
                      <w:lang w:val="en-US" w:eastAsia="zh-CN"/>
                    </w:rPr>
                    <w:t>54</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28.89</w:t>
                  </w:r>
                  <w:r>
                    <w:rPr>
                      <w:rFonts w:hint="default" w:ascii="Times New Roman" w:hAnsi="Times New Roman" w:eastAsia="宋体" w:cs="Times New Roman"/>
                      <w:color w:val="000000"/>
                      <w:sz w:val="21"/>
                      <w:szCs w:val="21"/>
                      <w:highlight w:val="none"/>
                      <w:lang w:val="en-US" w:eastAsia="zh-CN"/>
                    </w:rPr>
                    <w:t>″</w:t>
                  </w:r>
                </w:p>
              </w:tc>
              <w:tc>
                <w:tcPr>
                  <w:tcW w:w="507" w:type="pct"/>
                  <w:noWrap w:val="0"/>
                  <w:vAlign w:val="center"/>
                </w:tcPr>
                <w:p w14:paraId="41FD55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25</w:t>
                  </w:r>
                </w:p>
              </w:tc>
            </w:tr>
          </w:tbl>
          <w:p w14:paraId="552ADF6F">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1.2</w:t>
            </w:r>
            <w:r>
              <w:rPr>
                <w:rFonts w:hint="eastAsia" w:ascii="Times New Roman" w:hAnsi="Times New Roman" w:eastAsia="宋体" w:cs="Times New Roman"/>
                <w:b/>
                <w:bCs/>
                <w:color w:val="auto"/>
                <w:sz w:val="24"/>
                <w:szCs w:val="24"/>
                <w:highlight w:val="none"/>
                <w:lang w:eastAsia="zh-CN"/>
              </w:rPr>
              <w:t>达标排放</w:t>
            </w:r>
            <w:r>
              <w:rPr>
                <w:rFonts w:hint="default" w:ascii="Times New Roman" w:hAnsi="Times New Roman" w:eastAsia="宋体" w:cs="Times New Roman"/>
                <w:b/>
                <w:bCs/>
                <w:color w:val="auto"/>
                <w:sz w:val="24"/>
                <w:szCs w:val="24"/>
                <w:highlight w:val="none"/>
                <w:lang w:eastAsia="zh-CN"/>
              </w:rPr>
              <w:t>分析</w:t>
            </w:r>
          </w:p>
          <w:p w14:paraId="4F0888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项目</w:t>
            </w:r>
            <w:r>
              <w:rPr>
                <w:rFonts w:hint="eastAsia" w:cs="Times New Roman"/>
                <w:b w:val="0"/>
                <w:bCs/>
                <w:color w:val="auto"/>
                <w:sz w:val="24"/>
                <w:szCs w:val="24"/>
                <w:highlight w:val="none"/>
                <w:lang w:eastAsia="zh-CN"/>
              </w:rPr>
              <w:t>丝印烘干过程产生的液化气废气经集气罩收集后通过一根</w:t>
            </w:r>
            <w:r>
              <w:rPr>
                <w:rFonts w:hint="eastAsia" w:cs="Times New Roman"/>
                <w:b w:val="0"/>
                <w:bCs/>
                <w:color w:val="auto"/>
                <w:sz w:val="24"/>
                <w:szCs w:val="24"/>
                <w:highlight w:val="none"/>
                <w:lang w:val="en-US" w:eastAsia="zh-CN"/>
              </w:rPr>
              <w:t>20米高排气筒（DA001）排放，</w:t>
            </w:r>
            <w:r>
              <w:rPr>
                <w:rFonts w:hint="eastAsia" w:ascii="Times New Roman" w:hAnsi="Times New Roman" w:eastAsia="宋体" w:cs="Times New Roman"/>
                <w:b w:val="0"/>
                <w:bCs/>
                <w:color w:val="auto"/>
                <w:sz w:val="24"/>
                <w:szCs w:val="24"/>
                <w:highlight w:val="none"/>
                <w:lang w:eastAsia="zh-CN"/>
              </w:rPr>
              <w:t>制版、调浆、丝印废气产生的有机废气</w:t>
            </w:r>
            <w:r>
              <w:rPr>
                <w:rFonts w:hint="eastAsia" w:cs="Times New Roman"/>
                <w:b w:val="0"/>
                <w:bCs/>
                <w:color w:val="auto"/>
                <w:sz w:val="24"/>
                <w:szCs w:val="24"/>
                <w:highlight w:val="none"/>
                <w:lang w:eastAsia="zh-CN"/>
              </w:rPr>
              <w:t>由集气罩收集后</w:t>
            </w:r>
            <w:r>
              <w:rPr>
                <w:rFonts w:hint="eastAsia" w:ascii="Times New Roman" w:hAnsi="Times New Roman" w:eastAsia="宋体" w:cs="Times New Roman"/>
                <w:b w:val="0"/>
                <w:bCs/>
                <w:color w:val="auto"/>
                <w:sz w:val="24"/>
                <w:szCs w:val="24"/>
                <w:highlight w:val="none"/>
                <w:lang w:eastAsia="zh-CN"/>
              </w:rPr>
              <w:t>经“活性炭吸附”处理后</w:t>
            </w:r>
            <w:r>
              <w:rPr>
                <w:rFonts w:hint="eastAsia" w:cs="Times New Roman"/>
                <w:b w:val="0"/>
                <w:bCs/>
                <w:color w:val="auto"/>
                <w:sz w:val="24"/>
                <w:szCs w:val="24"/>
                <w:highlight w:val="none"/>
                <w:lang w:eastAsia="zh-CN"/>
              </w:rPr>
              <w:t>通过一根</w:t>
            </w:r>
            <w:r>
              <w:rPr>
                <w:rFonts w:hint="eastAsia" w:cs="Times New Roman"/>
                <w:b w:val="0"/>
                <w:bCs/>
                <w:color w:val="auto"/>
                <w:sz w:val="24"/>
                <w:szCs w:val="24"/>
                <w:highlight w:val="none"/>
                <w:lang w:val="en-US" w:eastAsia="zh-CN"/>
              </w:rPr>
              <w:t>25米高排气筒（DA002）排放，</w:t>
            </w:r>
            <w:r>
              <w:rPr>
                <w:rFonts w:hint="eastAsia" w:ascii="Times New Roman" w:hAnsi="Times New Roman" w:eastAsia="宋体" w:cs="Times New Roman"/>
                <w:b w:val="0"/>
                <w:bCs/>
                <w:color w:val="auto"/>
                <w:sz w:val="24"/>
                <w:szCs w:val="24"/>
                <w:highlight w:val="none"/>
                <w:lang w:eastAsia="zh-CN"/>
              </w:rPr>
              <w:t>排放速率和排放浓度符合</w:t>
            </w:r>
            <w:r>
              <w:rPr>
                <w:rFonts w:hint="eastAsia" w:ascii="Times New Roman" w:hAnsi="Times New Roman" w:eastAsia="宋体" w:cs="Times New Roman"/>
                <w:b w:val="0"/>
                <w:bCs/>
                <w:color w:val="auto"/>
                <w:sz w:val="24"/>
                <w:szCs w:val="24"/>
                <w:highlight w:val="none"/>
                <w:lang w:val="en-US" w:eastAsia="zh-CN"/>
              </w:rPr>
              <w:t>DB35/1784-2018</w:t>
            </w:r>
            <w:r>
              <w:rPr>
                <w:rFonts w:hint="eastAsia" w:ascii="Times New Roman" w:hAnsi="Times New Roman" w:eastAsia="宋体" w:cs="Times New Roman"/>
                <w:b w:val="0"/>
                <w:bCs/>
                <w:color w:val="auto"/>
                <w:sz w:val="24"/>
                <w:szCs w:val="24"/>
                <w:highlight w:val="none"/>
                <w:lang w:eastAsia="zh-CN"/>
              </w:rPr>
              <w:t>《印刷行业挥发性有机物排放标准》“表</w:t>
            </w:r>
            <w:r>
              <w:rPr>
                <w:rFonts w:hint="eastAsia" w:ascii="Times New Roman" w:hAnsi="Times New Roman" w:eastAsia="宋体" w:cs="Times New Roman"/>
                <w:b w:val="0"/>
                <w:bCs/>
                <w:color w:val="auto"/>
                <w:sz w:val="24"/>
                <w:szCs w:val="24"/>
                <w:highlight w:val="none"/>
                <w:lang w:val="en-US" w:eastAsia="zh-CN"/>
              </w:rPr>
              <w:t>1排气筒挥发性有机物排放限值”，项目废气可达标排放。</w:t>
            </w:r>
          </w:p>
          <w:p w14:paraId="24B9D2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b w:val="0"/>
                <w:bCs/>
                <w:color w:val="auto"/>
                <w:sz w:val="24"/>
                <w:szCs w:val="24"/>
                <w:highlight w:val="none"/>
                <w:lang w:val="en-US" w:eastAsia="zh-CN"/>
              </w:rPr>
              <w:t>项目少量未收集废气，车间无组织逸散。建议企业生产车间加强密闭措施，减少无组织逸散。项目厂区内无组织排放废气可得到有效控制，对周围环境影响不大。</w:t>
            </w:r>
          </w:p>
          <w:p w14:paraId="3AB5AE30">
            <w:pPr>
              <w:keepNext w:val="0"/>
              <w:keepLines w:val="0"/>
              <w:pageBreakBefore w:val="0"/>
              <w:widowControl w:val="0"/>
              <w:kinsoku/>
              <w:wordWrap/>
              <w:overflowPunct/>
              <w:topLinePunct w:val="0"/>
              <w:autoSpaceDE/>
              <w:autoSpaceDN/>
              <w:bidi w:val="0"/>
              <w:adjustRightInd w:val="0"/>
              <w:snapToGrid w:val="0"/>
              <w:spacing w:before="0" w:beforeLines="0" w:line="360" w:lineRule="auto"/>
              <w:ind w:left="0" w:leftChars="0" w:firstLine="0" w:firstLineChars="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非正常情况下废气产排情况分析</w:t>
            </w:r>
          </w:p>
          <w:p w14:paraId="0F0B8DE2">
            <w:pPr>
              <w:spacing w:beforeLines="0" w:line="360" w:lineRule="auto"/>
              <w:ind w:firstLine="480" w:firstLineChars="200"/>
              <w:jc w:val="both"/>
              <w:rPr>
                <w:rFonts w:hint="default" w:ascii="Times New Roman" w:hAnsi="Times New Roman" w:eastAsia="宋体" w:cs="Times New Roman"/>
                <w:b/>
                <w:bCs/>
                <w:color w:val="000000"/>
                <w:highlight w:val="none"/>
                <w:lang w:bidi="ar"/>
              </w:rPr>
            </w:pPr>
            <w:r>
              <w:rPr>
                <w:rFonts w:hint="default" w:ascii="Times New Roman" w:hAnsi="Times New Roman" w:eastAsia="宋体" w:cs="Times New Roman"/>
                <w:bCs/>
                <w:color w:val="000000"/>
                <w:sz w:val="24"/>
                <w:szCs w:val="24"/>
                <w:highlight w:val="none"/>
                <w:lang w:eastAsia="zh-CN"/>
              </w:rPr>
              <w:t>项目在非正常排放情况下（考虑废气处理设施损坏），</w:t>
            </w:r>
            <w:r>
              <w:rPr>
                <w:rFonts w:hint="default" w:ascii="Times New Roman" w:hAnsi="Times New Roman" w:eastAsia="宋体" w:cs="Times New Roman"/>
                <w:bCs/>
                <w:color w:val="000000"/>
                <w:sz w:val="24"/>
                <w:szCs w:val="24"/>
                <w:highlight w:val="none"/>
                <w:lang w:val="en-US" w:eastAsia="zh-CN"/>
              </w:rPr>
              <w:t>项目废气</w:t>
            </w:r>
            <w:r>
              <w:rPr>
                <w:rFonts w:hint="default" w:ascii="Times New Roman" w:hAnsi="Times New Roman" w:eastAsia="宋体" w:cs="Times New Roman"/>
                <w:bCs/>
                <w:color w:val="000000"/>
                <w:sz w:val="24"/>
                <w:szCs w:val="24"/>
                <w:highlight w:val="none"/>
                <w:lang w:eastAsia="zh-CN"/>
              </w:rPr>
              <w:t>未经废气处理设施净化处理，直接经排气筒排放至大气环境。项目废气</w:t>
            </w:r>
            <w:r>
              <w:rPr>
                <w:rFonts w:hint="default" w:ascii="Times New Roman" w:hAnsi="Times New Roman" w:eastAsia="宋体" w:cs="Times New Roman"/>
                <w:color w:val="000000"/>
                <w:kern w:val="1"/>
                <w:sz w:val="24"/>
                <w:szCs w:val="24"/>
                <w:highlight w:val="none"/>
                <w:lang w:eastAsia="zh-CN"/>
              </w:rPr>
              <w:t>非正常情况下</w:t>
            </w:r>
            <w:r>
              <w:rPr>
                <w:rFonts w:hint="default" w:ascii="Times New Roman" w:hAnsi="Times New Roman" w:eastAsia="宋体" w:cs="Times New Roman"/>
                <w:color w:val="000000"/>
                <w:kern w:val="1"/>
                <w:sz w:val="24"/>
                <w:szCs w:val="24"/>
                <w:highlight w:val="none"/>
              </w:rPr>
              <w:t>排放源强计算结果见</w:t>
            </w:r>
            <w:r>
              <w:rPr>
                <w:rFonts w:hint="default" w:ascii="Times New Roman" w:hAnsi="Times New Roman" w:eastAsia="宋体" w:cs="Times New Roman"/>
                <w:color w:val="000000"/>
                <w:kern w:val="1"/>
                <w:sz w:val="24"/>
                <w:szCs w:val="24"/>
                <w:highlight w:val="none"/>
                <w:lang w:eastAsia="zh-CN"/>
              </w:rPr>
              <w:t>下</w:t>
            </w:r>
            <w:r>
              <w:rPr>
                <w:rFonts w:hint="default" w:ascii="Times New Roman" w:hAnsi="Times New Roman" w:eastAsia="宋体" w:cs="Times New Roman"/>
                <w:color w:val="000000"/>
                <w:kern w:val="1"/>
                <w:sz w:val="24"/>
                <w:szCs w:val="24"/>
                <w:highlight w:val="none"/>
              </w:rPr>
              <w:t>表。</w:t>
            </w:r>
          </w:p>
          <w:p w14:paraId="5E753A52">
            <w:pPr>
              <w:pStyle w:val="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highlight w:val="none"/>
                <w:lang w:bidi="ar"/>
              </w:rPr>
              <w:t>表4-</w:t>
            </w:r>
            <w:r>
              <w:rPr>
                <w:rFonts w:hint="eastAsia" w:cs="Times New Roman"/>
                <w:b/>
                <w:bCs/>
                <w:color w:val="000000"/>
                <w:sz w:val="24"/>
                <w:highlight w:val="none"/>
                <w:lang w:val="en-US" w:eastAsia="zh-CN" w:bidi="ar"/>
              </w:rPr>
              <w:t>5</w:t>
            </w:r>
            <w:r>
              <w:rPr>
                <w:rFonts w:hint="default" w:ascii="Times New Roman" w:hAnsi="Times New Roman" w:eastAsia="宋体" w:cs="Times New Roman"/>
                <w:b/>
                <w:bCs/>
                <w:color w:val="000000"/>
                <w:sz w:val="24"/>
                <w:szCs w:val="24"/>
                <w:highlight w:val="none"/>
                <w:lang w:eastAsia="zh-CN"/>
              </w:rPr>
              <w:t>非正常情况下</w:t>
            </w:r>
            <w:r>
              <w:rPr>
                <w:rFonts w:hint="default" w:ascii="Times New Roman" w:hAnsi="Times New Roman" w:eastAsia="宋体" w:cs="Times New Roman"/>
                <w:b/>
                <w:bCs/>
                <w:color w:val="000000"/>
                <w:sz w:val="24"/>
                <w:szCs w:val="24"/>
                <w:highlight w:val="none"/>
              </w:rPr>
              <w:t>废气污染源源强核算结果及相关参数一览表</w:t>
            </w:r>
          </w:p>
          <w:tbl>
            <w:tblPr>
              <w:tblStyle w:val="25"/>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50"/>
              <w:gridCol w:w="1113"/>
              <w:gridCol w:w="1016"/>
              <w:gridCol w:w="995"/>
              <w:gridCol w:w="1211"/>
              <w:gridCol w:w="851"/>
              <w:gridCol w:w="870"/>
              <w:gridCol w:w="1113"/>
            </w:tblGrid>
            <w:tr w14:paraId="693E35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16" w:type="pct"/>
                  <w:vMerge w:val="restart"/>
                  <w:tcBorders>
                    <w:tl2br w:val="nil"/>
                    <w:tr2bl w:val="nil"/>
                  </w:tcBorders>
                  <w:noWrap w:val="0"/>
                  <w:vAlign w:val="center"/>
                </w:tcPr>
                <w:p w14:paraId="6C5DEC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污染源</w:t>
                  </w:r>
                  <w:r>
                    <w:rPr>
                      <w:rFonts w:hint="default" w:ascii="Times New Roman" w:hAnsi="Times New Roman" w:eastAsia="宋体" w:cs="Times New Roman"/>
                      <w:color w:val="000000"/>
                      <w:sz w:val="21"/>
                      <w:szCs w:val="21"/>
                      <w:highlight w:val="none"/>
                      <w:lang w:val="en-US" w:eastAsia="zh-CN"/>
                    </w:rPr>
                    <w:t>/编号</w:t>
                  </w:r>
                </w:p>
              </w:tc>
              <w:tc>
                <w:tcPr>
                  <w:tcW w:w="711" w:type="pct"/>
                  <w:vMerge w:val="restart"/>
                  <w:tcBorders>
                    <w:tl2br w:val="nil"/>
                    <w:tr2bl w:val="nil"/>
                  </w:tcBorders>
                  <w:noWrap w:val="0"/>
                  <w:vAlign w:val="center"/>
                </w:tcPr>
                <w:p w14:paraId="658886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非正常排放原因</w:t>
                  </w:r>
                </w:p>
              </w:tc>
              <w:tc>
                <w:tcPr>
                  <w:tcW w:w="649" w:type="pct"/>
                  <w:vMerge w:val="restart"/>
                  <w:tcBorders>
                    <w:tl2br w:val="nil"/>
                    <w:tr2bl w:val="nil"/>
                  </w:tcBorders>
                  <w:noWrap w:val="0"/>
                  <w:vAlign w:val="center"/>
                </w:tcPr>
                <w:p w14:paraId="4506E96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污染物</w:t>
                  </w:r>
                </w:p>
              </w:tc>
              <w:tc>
                <w:tcPr>
                  <w:tcW w:w="1410" w:type="pct"/>
                  <w:gridSpan w:val="2"/>
                  <w:tcBorders>
                    <w:tl2br w:val="nil"/>
                    <w:tr2bl w:val="nil"/>
                  </w:tcBorders>
                  <w:noWrap w:val="0"/>
                  <w:vAlign w:val="center"/>
                </w:tcPr>
                <w:p w14:paraId="573E8E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污染物排放</w:t>
                  </w:r>
                </w:p>
              </w:tc>
              <w:tc>
                <w:tcPr>
                  <w:tcW w:w="544" w:type="pct"/>
                  <w:vMerge w:val="restart"/>
                  <w:tcBorders>
                    <w:tl2br w:val="nil"/>
                    <w:tr2bl w:val="nil"/>
                  </w:tcBorders>
                  <w:noWrap w:val="0"/>
                  <w:vAlign w:val="center"/>
                </w:tcPr>
                <w:p w14:paraId="1A694D02">
                  <w:pPr>
                    <w:pStyle w:val="83"/>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单次持续时间/h</w:t>
                  </w:r>
                </w:p>
              </w:tc>
              <w:tc>
                <w:tcPr>
                  <w:tcW w:w="556" w:type="pct"/>
                  <w:vMerge w:val="restart"/>
                  <w:tcBorders>
                    <w:tl2br w:val="nil"/>
                    <w:tr2bl w:val="nil"/>
                  </w:tcBorders>
                  <w:noWrap w:val="0"/>
                  <w:vAlign w:val="center"/>
                </w:tcPr>
                <w:p w14:paraId="100495F9">
                  <w:pPr>
                    <w:pStyle w:val="83"/>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年发生</w:t>
                  </w:r>
                </w:p>
                <w:p w14:paraId="7813F669">
                  <w:pPr>
                    <w:pStyle w:val="83"/>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频次/次</w:t>
                  </w:r>
                </w:p>
              </w:tc>
              <w:tc>
                <w:tcPr>
                  <w:tcW w:w="711" w:type="pct"/>
                  <w:vMerge w:val="restart"/>
                  <w:tcBorders>
                    <w:tl2br w:val="nil"/>
                    <w:tr2bl w:val="nil"/>
                  </w:tcBorders>
                  <w:noWrap w:val="0"/>
                  <w:vAlign w:val="center"/>
                </w:tcPr>
                <w:p w14:paraId="0CB1369D">
                  <w:pPr>
                    <w:pStyle w:val="83"/>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应对</w:t>
                  </w:r>
                </w:p>
                <w:p w14:paraId="1E126B04">
                  <w:pPr>
                    <w:pStyle w:val="83"/>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措施</w:t>
                  </w:r>
                </w:p>
              </w:tc>
            </w:tr>
            <w:tr w14:paraId="70C990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16" w:type="pct"/>
                  <w:vMerge w:val="continue"/>
                  <w:tcBorders>
                    <w:tl2br w:val="nil"/>
                    <w:tr2bl w:val="nil"/>
                  </w:tcBorders>
                  <w:noWrap w:val="0"/>
                  <w:vAlign w:val="center"/>
                </w:tcPr>
                <w:p w14:paraId="59DD79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711" w:type="pct"/>
                  <w:vMerge w:val="continue"/>
                  <w:tcBorders>
                    <w:tl2br w:val="nil"/>
                    <w:tr2bl w:val="nil"/>
                  </w:tcBorders>
                  <w:noWrap w:val="0"/>
                  <w:vAlign w:val="center"/>
                </w:tcPr>
                <w:p w14:paraId="4F949D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649" w:type="pct"/>
                  <w:vMerge w:val="continue"/>
                  <w:tcBorders>
                    <w:tl2br w:val="nil"/>
                    <w:tr2bl w:val="nil"/>
                  </w:tcBorders>
                  <w:noWrap w:val="0"/>
                  <w:vAlign w:val="center"/>
                </w:tcPr>
                <w:p w14:paraId="059D51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636" w:type="pct"/>
                  <w:tcBorders>
                    <w:tl2br w:val="nil"/>
                    <w:tr2bl w:val="nil"/>
                  </w:tcBorders>
                  <w:noWrap w:val="0"/>
                  <w:vAlign w:val="center"/>
                </w:tcPr>
                <w:p w14:paraId="17065A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排放浓度</w:t>
                  </w:r>
                </w:p>
                <w:p w14:paraId="1FF9ED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（mg/m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rPr>
                    <w:t>）</w:t>
                  </w:r>
                </w:p>
              </w:tc>
              <w:tc>
                <w:tcPr>
                  <w:tcW w:w="774" w:type="pct"/>
                  <w:tcBorders>
                    <w:tl2br w:val="nil"/>
                    <w:tr2bl w:val="nil"/>
                  </w:tcBorders>
                  <w:noWrap w:val="0"/>
                  <w:vAlign w:val="center"/>
                </w:tcPr>
                <w:p w14:paraId="57E593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排放量</w:t>
                  </w:r>
                </w:p>
                <w:p w14:paraId="6712FC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kg/h</w:t>
                  </w:r>
                  <w:r>
                    <w:rPr>
                      <w:rFonts w:hint="default" w:ascii="Times New Roman" w:hAnsi="Times New Roman" w:eastAsia="宋体" w:cs="Times New Roman"/>
                      <w:color w:val="000000"/>
                      <w:sz w:val="21"/>
                      <w:szCs w:val="21"/>
                      <w:highlight w:val="none"/>
                      <w:lang w:val="en-US" w:eastAsia="zh-CN"/>
                    </w:rPr>
                    <w:t>）</w:t>
                  </w:r>
                </w:p>
              </w:tc>
              <w:tc>
                <w:tcPr>
                  <w:tcW w:w="544" w:type="pct"/>
                  <w:vMerge w:val="continue"/>
                  <w:tcBorders>
                    <w:tl2br w:val="nil"/>
                    <w:tr2bl w:val="nil"/>
                  </w:tcBorders>
                  <w:noWrap w:val="0"/>
                  <w:vAlign w:val="center"/>
                </w:tcPr>
                <w:p w14:paraId="1AC093E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p>
              </w:tc>
              <w:tc>
                <w:tcPr>
                  <w:tcW w:w="556" w:type="pct"/>
                  <w:vMerge w:val="continue"/>
                  <w:tcBorders>
                    <w:tl2br w:val="nil"/>
                    <w:tr2bl w:val="nil"/>
                  </w:tcBorders>
                  <w:noWrap w:val="0"/>
                  <w:vAlign w:val="center"/>
                </w:tcPr>
                <w:p w14:paraId="0360403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p>
              </w:tc>
              <w:tc>
                <w:tcPr>
                  <w:tcW w:w="711" w:type="pct"/>
                  <w:vMerge w:val="continue"/>
                  <w:tcBorders>
                    <w:tl2br w:val="nil"/>
                    <w:tr2bl w:val="nil"/>
                  </w:tcBorders>
                  <w:noWrap w:val="0"/>
                  <w:vAlign w:val="center"/>
                </w:tcPr>
                <w:p w14:paraId="372B4B5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p>
              </w:tc>
            </w:tr>
            <w:tr w14:paraId="0FC6EA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16" w:type="pct"/>
                  <w:tcBorders>
                    <w:tl2br w:val="nil"/>
                    <w:tr2bl w:val="nil"/>
                  </w:tcBorders>
                  <w:noWrap w:val="0"/>
                  <w:vAlign w:val="center"/>
                </w:tcPr>
                <w:p w14:paraId="17D0792A">
                  <w:pPr>
                    <w:keepNext w:val="0"/>
                    <w:keepLines w:val="0"/>
                    <w:pageBreakBefore w:val="0"/>
                    <w:widowControl/>
                    <w:tabs>
                      <w:tab w:val="left" w:pos="367"/>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DA00</w:t>
                  </w:r>
                  <w:r>
                    <w:rPr>
                      <w:rFonts w:hint="eastAsia" w:cs="Times New Roman"/>
                      <w:color w:val="000000"/>
                      <w:sz w:val="21"/>
                      <w:szCs w:val="21"/>
                      <w:highlight w:val="none"/>
                      <w:lang w:val="en-US" w:eastAsia="zh-CN"/>
                    </w:rPr>
                    <w:t>2</w:t>
                  </w:r>
                </w:p>
              </w:tc>
              <w:tc>
                <w:tcPr>
                  <w:tcW w:w="711" w:type="pct"/>
                  <w:tcBorders>
                    <w:tl2br w:val="nil"/>
                    <w:tr2bl w:val="nil"/>
                  </w:tcBorders>
                  <w:noWrap w:val="0"/>
                  <w:vAlign w:val="center"/>
                </w:tcPr>
                <w:p w14:paraId="13F9D28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废气处理设施发生故障</w:t>
                  </w:r>
                </w:p>
              </w:tc>
              <w:tc>
                <w:tcPr>
                  <w:tcW w:w="649" w:type="pct"/>
                  <w:tcBorders>
                    <w:tl2br w:val="nil"/>
                    <w:tr2bl w:val="nil"/>
                  </w:tcBorders>
                  <w:noWrap w:val="0"/>
                  <w:vAlign w:val="center"/>
                </w:tcPr>
                <w:p w14:paraId="48BA6DD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非甲烷总烃</w:t>
                  </w:r>
                </w:p>
              </w:tc>
              <w:tc>
                <w:tcPr>
                  <w:tcW w:w="995" w:type="dxa"/>
                  <w:tcBorders>
                    <w:tl2br w:val="nil"/>
                    <w:tr2bl w:val="nil"/>
                  </w:tcBorders>
                  <w:noWrap w:val="0"/>
                  <w:vAlign w:val="center"/>
                </w:tcPr>
                <w:p w14:paraId="676C37F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0.107</w:t>
                  </w:r>
                </w:p>
              </w:tc>
              <w:tc>
                <w:tcPr>
                  <w:tcW w:w="1211" w:type="dxa"/>
                  <w:tcBorders>
                    <w:tl2br w:val="nil"/>
                    <w:tr2bl w:val="nil"/>
                  </w:tcBorders>
                  <w:noWrap w:val="0"/>
                  <w:vAlign w:val="center"/>
                </w:tcPr>
                <w:p w14:paraId="0ADBE2A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0.386</w:t>
                  </w:r>
                </w:p>
              </w:tc>
              <w:tc>
                <w:tcPr>
                  <w:tcW w:w="544" w:type="pct"/>
                  <w:tcBorders>
                    <w:tl2br w:val="nil"/>
                    <w:tr2bl w:val="nil"/>
                  </w:tcBorders>
                  <w:noWrap w:val="0"/>
                  <w:vAlign w:val="center"/>
                </w:tcPr>
                <w:p w14:paraId="0992E5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1</w:t>
                  </w:r>
                </w:p>
              </w:tc>
              <w:tc>
                <w:tcPr>
                  <w:tcW w:w="556" w:type="pct"/>
                  <w:tcBorders>
                    <w:tl2br w:val="nil"/>
                    <w:tr2bl w:val="nil"/>
                  </w:tcBorders>
                  <w:noWrap w:val="0"/>
                  <w:vAlign w:val="center"/>
                </w:tcPr>
                <w:p w14:paraId="4CED19D6">
                  <w:pPr>
                    <w:widowControl/>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1</w:t>
                  </w:r>
                </w:p>
              </w:tc>
              <w:tc>
                <w:tcPr>
                  <w:tcW w:w="711" w:type="pct"/>
                  <w:tcBorders>
                    <w:tl2br w:val="nil"/>
                    <w:tr2bl w:val="nil"/>
                  </w:tcBorders>
                  <w:noWrap w:val="0"/>
                  <w:vAlign w:val="center"/>
                </w:tcPr>
                <w:p w14:paraId="542409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立即停止生产作业</w:t>
                  </w:r>
                </w:p>
              </w:tc>
            </w:tr>
          </w:tbl>
          <w:p w14:paraId="1F64777F">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both"/>
              <w:textAlignment w:val="auto"/>
              <w:rPr>
                <w:rFonts w:hint="eastAsia"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eastAsia="zh-CN"/>
              </w:rPr>
              <w:t>大气污染物排放量核算结果</w:t>
            </w:r>
          </w:p>
          <w:p w14:paraId="2BA703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eastAsia="zh-CN"/>
              </w:rPr>
              <w:t>大气污染物排放量核算见表</w:t>
            </w:r>
            <w:r>
              <w:rPr>
                <w:rFonts w:hint="eastAsia" w:ascii="Times New Roman" w:hAnsi="Times New Roman" w:eastAsia="宋体" w:cs="Times New Roman"/>
                <w:b w:val="0"/>
                <w:bCs/>
                <w:color w:val="auto"/>
                <w:sz w:val="24"/>
                <w:szCs w:val="24"/>
                <w:highlight w:val="none"/>
                <w:lang w:val="en-US" w:eastAsia="zh-CN"/>
              </w:rPr>
              <w:t>4-</w:t>
            </w:r>
            <w:r>
              <w:rPr>
                <w:rFonts w:hint="eastAsia" w:cs="Times New Roman"/>
                <w:b w:val="0"/>
                <w:bCs/>
                <w:color w:val="auto"/>
                <w:sz w:val="24"/>
                <w:szCs w:val="24"/>
                <w:highlight w:val="none"/>
                <w:lang w:val="en-US" w:eastAsia="zh-CN"/>
              </w:rPr>
              <w:t>6</w:t>
            </w:r>
            <w:r>
              <w:rPr>
                <w:rFonts w:hint="eastAsia" w:ascii="Times New Roman" w:hAnsi="Times New Roman" w:eastAsia="宋体" w:cs="Times New Roman"/>
                <w:b w:val="0"/>
                <w:bCs/>
                <w:color w:val="auto"/>
                <w:sz w:val="24"/>
                <w:szCs w:val="24"/>
                <w:highlight w:val="none"/>
                <w:lang w:val="en-US" w:eastAsia="zh-CN"/>
              </w:rPr>
              <w:t>、表4-</w:t>
            </w:r>
            <w:r>
              <w:rPr>
                <w:rFonts w:hint="eastAsia" w:cs="Times New Roman"/>
                <w:b w:val="0"/>
                <w:bCs/>
                <w:color w:val="auto"/>
                <w:sz w:val="24"/>
                <w:szCs w:val="24"/>
                <w:highlight w:val="none"/>
                <w:lang w:val="en-US" w:eastAsia="zh-CN"/>
              </w:rPr>
              <w:t>7</w:t>
            </w:r>
            <w:r>
              <w:rPr>
                <w:rFonts w:hint="eastAsia" w:ascii="Times New Roman" w:hAnsi="Times New Roman" w:eastAsia="宋体" w:cs="Times New Roman"/>
                <w:b w:val="0"/>
                <w:bCs/>
                <w:color w:val="auto"/>
                <w:sz w:val="24"/>
                <w:szCs w:val="24"/>
                <w:highlight w:val="none"/>
                <w:lang w:val="en-US" w:eastAsia="zh-CN"/>
              </w:rPr>
              <w:t>、表4-</w:t>
            </w:r>
            <w:r>
              <w:rPr>
                <w:rFonts w:hint="eastAsia" w:cs="Times New Roman"/>
                <w:b w:val="0"/>
                <w:bCs/>
                <w:color w:val="auto"/>
                <w:sz w:val="24"/>
                <w:szCs w:val="24"/>
                <w:highlight w:val="none"/>
                <w:lang w:val="en-US" w:eastAsia="zh-CN"/>
              </w:rPr>
              <w:t>8</w:t>
            </w:r>
            <w:r>
              <w:rPr>
                <w:rFonts w:hint="eastAsia" w:ascii="Times New Roman" w:hAnsi="Times New Roman" w:eastAsia="宋体" w:cs="Times New Roman"/>
                <w:b w:val="0"/>
                <w:bCs/>
                <w:color w:val="auto"/>
                <w:sz w:val="24"/>
                <w:szCs w:val="24"/>
                <w:highlight w:val="none"/>
                <w:lang w:val="en-US" w:eastAsia="zh-CN"/>
              </w:rPr>
              <w:t>。</w:t>
            </w:r>
          </w:p>
          <w:p w14:paraId="4477F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auto"/>
                <w:sz w:val="24"/>
                <w:szCs w:val="24"/>
                <w:highlight w:val="none"/>
                <w:lang w:eastAsia="zh-CN"/>
              </w:rPr>
            </w:pPr>
          </w:p>
          <w:p w14:paraId="1C3105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auto"/>
                <w:sz w:val="24"/>
                <w:szCs w:val="24"/>
                <w:highlight w:val="none"/>
                <w:lang w:eastAsia="zh-CN"/>
              </w:rPr>
            </w:pPr>
          </w:p>
          <w:p w14:paraId="3BFFC7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auto"/>
                <w:sz w:val="24"/>
                <w:szCs w:val="24"/>
                <w:highlight w:val="none"/>
                <w:lang w:eastAsia="zh-CN"/>
              </w:rPr>
            </w:pPr>
          </w:p>
          <w:p w14:paraId="3ACF04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auto"/>
                <w:sz w:val="24"/>
                <w:szCs w:val="24"/>
                <w:highlight w:val="none"/>
                <w:lang w:eastAsia="zh-CN"/>
              </w:rPr>
            </w:pPr>
          </w:p>
          <w:p w14:paraId="3BB1C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auto"/>
                <w:sz w:val="24"/>
                <w:szCs w:val="24"/>
                <w:highlight w:val="none"/>
                <w:lang w:eastAsia="zh-CN"/>
              </w:rPr>
            </w:pPr>
          </w:p>
          <w:p w14:paraId="63056D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auto"/>
                <w:sz w:val="24"/>
                <w:szCs w:val="24"/>
                <w:highlight w:val="none"/>
                <w:lang w:eastAsia="zh-CN"/>
              </w:rPr>
            </w:pPr>
          </w:p>
          <w:p w14:paraId="0EAB3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eastAsia="zh-CN"/>
              </w:rPr>
              <w:t>表</w:t>
            </w:r>
            <w:r>
              <w:rPr>
                <w:rFonts w:hint="eastAsia" w:ascii="Times New Roman" w:hAnsi="Times New Roman" w:eastAsia="宋体" w:cs="Times New Roman"/>
                <w:b/>
                <w:bCs w:val="0"/>
                <w:color w:val="auto"/>
                <w:sz w:val="24"/>
                <w:szCs w:val="24"/>
                <w:highlight w:val="none"/>
                <w:lang w:val="en-US" w:eastAsia="zh-CN"/>
              </w:rPr>
              <w:t>4-</w:t>
            </w:r>
            <w:r>
              <w:rPr>
                <w:rFonts w:hint="eastAsia" w:cs="Times New Roman"/>
                <w:b/>
                <w:bCs w:val="0"/>
                <w:color w:val="auto"/>
                <w:sz w:val="24"/>
                <w:szCs w:val="24"/>
                <w:highlight w:val="none"/>
                <w:lang w:val="en-US" w:eastAsia="zh-CN"/>
              </w:rPr>
              <w:t>6</w:t>
            </w:r>
            <w:r>
              <w:rPr>
                <w:rFonts w:hint="eastAsia" w:ascii="Times New Roman" w:hAnsi="Times New Roman" w:eastAsia="宋体" w:cs="Times New Roman"/>
                <w:b/>
                <w:bCs w:val="0"/>
                <w:color w:val="auto"/>
                <w:sz w:val="24"/>
                <w:szCs w:val="24"/>
                <w:highlight w:val="none"/>
                <w:lang w:val="en-US" w:eastAsia="zh-CN"/>
              </w:rPr>
              <w:t xml:space="preserve"> 大气污染物有组织排放量核算表</w:t>
            </w:r>
          </w:p>
          <w:tbl>
            <w:tblPr>
              <w:tblStyle w:val="2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913"/>
              <w:gridCol w:w="1132"/>
              <w:gridCol w:w="1650"/>
              <w:gridCol w:w="1528"/>
              <w:gridCol w:w="1531"/>
            </w:tblGrid>
            <w:tr w14:paraId="11FA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dxa"/>
                  <w:tcBorders>
                    <w:top w:val="single" w:color="auto" w:sz="12" w:space="0"/>
                    <w:left w:val="nil"/>
                  </w:tcBorders>
                  <w:noWrap w:val="0"/>
                  <w:vAlign w:val="center"/>
                </w:tcPr>
                <w:p w14:paraId="067176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序号</w:t>
                  </w:r>
                </w:p>
              </w:tc>
              <w:tc>
                <w:tcPr>
                  <w:tcW w:w="913" w:type="dxa"/>
                  <w:tcBorders>
                    <w:top w:val="single" w:color="auto" w:sz="12" w:space="0"/>
                  </w:tcBorders>
                  <w:noWrap w:val="0"/>
                  <w:vAlign w:val="center"/>
                </w:tcPr>
                <w:p w14:paraId="6F894C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排放口编号</w:t>
                  </w:r>
                </w:p>
              </w:tc>
              <w:tc>
                <w:tcPr>
                  <w:tcW w:w="1132" w:type="dxa"/>
                  <w:tcBorders>
                    <w:top w:val="single" w:color="auto" w:sz="12" w:space="0"/>
                  </w:tcBorders>
                  <w:noWrap w:val="0"/>
                  <w:vAlign w:val="center"/>
                </w:tcPr>
                <w:p w14:paraId="651B2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污染物</w:t>
                  </w:r>
                </w:p>
              </w:tc>
              <w:tc>
                <w:tcPr>
                  <w:tcW w:w="1650" w:type="dxa"/>
                  <w:tcBorders>
                    <w:top w:val="single" w:color="auto" w:sz="12" w:space="0"/>
                  </w:tcBorders>
                  <w:noWrap w:val="0"/>
                  <w:vAlign w:val="center"/>
                </w:tcPr>
                <w:p w14:paraId="36D571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核算排放浓度</w:t>
                  </w:r>
                </w:p>
                <w:p w14:paraId="503637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w:t>
                  </w:r>
                  <w:r>
                    <w:rPr>
                      <w:rFonts w:hint="eastAsia" w:ascii="Times New Roman" w:hAnsi="Times New Roman" w:eastAsia="宋体" w:cs="Times New Roman"/>
                      <w:b w:val="0"/>
                      <w:bCs/>
                      <w:color w:val="auto"/>
                      <w:sz w:val="21"/>
                      <w:szCs w:val="21"/>
                      <w:highlight w:val="none"/>
                      <w:vertAlign w:val="baseline"/>
                      <w:lang w:val="en-US" w:eastAsia="zh-CN"/>
                    </w:rPr>
                    <w:t>mg/m</w:t>
                  </w:r>
                  <w:r>
                    <w:rPr>
                      <w:rFonts w:hint="eastAsia" w:ascii="Times New Roman" w:hAnsi="Times New Roman" w:eastAsia="宋体" w:cs="Times New Roman"/>
                      <w:b w:val="0"/>
                      <w:bCs/>
                      <w:color w:val="auto"/>
                      <w:sz w:val="21"/>
                      <w:szCs w:val="21"/>
                      <w:highlight w:val="none"/>
                      <w:vertAlign w:val="superscript"/>
                      <w:lang w:val="en-US" w:eastAsia="zh-CN"/>
                    </w:rPr>
                    <w:t>3</w:t>
                  </w:r>
                  <w:r>
                    <w:rPr>
                      <w:rFonts w:hint="eastAsia" w:ascii="Times New Roman" w:hAnsi="Times New Roman" w:eastAsia="宋体" w:cs="Times New Roman"/>
                      <w:b w:val="0"/>
                      <w:bCs/>
                      <w:color w:val="auto"/>
                      <w:sz w:val="21"/>
                      <w:szCs w:val="21"/>
                      <w:highlight w:val="none"/>
                      <w:vertAlign w:val="baseline"/>
                      <w:lang w:eastAsia="zh-CN"/>
                    </w:rPr>
                    <w:t>）</w:t>
                  </w:r>
                </w:p>
              </w:tc>
              <w:tc>
                <w:tcPr>
                  <w:tcW w:w="1528" w:type="dxa"/>
                  <w:tcBorders>
                    <w:top w:val="single" w:color="auto" w:sz="12" w:space="0"/>
                  </w:tcBorders>
                  <w:noWrap w:val="0"/>
                  <w:vAlign w:val="center"/>
                </w:tcPr>
                <w:p w14:paraId="3D06F2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核算排放速率</w:t>
                  </w:r>
                </w:p>
                <w:p w14:paraId="4AA586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w:t>
                  </w:r>
                  <w:r>
                    <w:rPr>
                      <w:rFonts w:hint="eastAsia" w:ascii="Times New Roman" w:hAnsi="Times New Roman" w:eastAsia="宋体" w:cs="Times New Roman"/>
                      <w:b w:val="0"/>
                      <w:bCs/>
                      <w:color w:val="auto"/>
                      <w:sz w:val="21"/>
                      <w:szCs w:val="21"/>
                      <w:highlight w:val="none"/>
                      <w:vertAlign w:val="baseline"/>
                      <w:lang w:val="en-US" w:eastAsia="zh-CN"/>
                    </w:rPr>
                    <w:t>kg/h</w:t>
                  </w:r>
                  <w:r>
                    <w:rPr>
                      <w:rFonts w:hint="eastAsia" w:ascii="Times New Roman" w:hAnsi="Times New Roman" w:eastAsia="宋体" w:cs="Times New Roman"/>
                      <w:b w:val="0"/>
                      <w:bCs/>
                      <w:color w:val="auto"/>
                      <w:sz w:val="21"/>
                      <w:szCs w:val="21"/>
                      <w:highlight w:val="none"/>
                      <w:vertAlign w:val="baseline"/>
                      <w:lang w:eastAsia="zh-CN"/>
                    </w:rPr>
                    <w:t>）</w:t>
                  </w:r>
                </w:p>
              </w:tc>
              <w:tc>
                <w:tcPr>
                  <w:tcW w:w="1531" w:type="dxa"/>
                  <w:tcBorders>
                    <w:top w:val="single" w:color="auto" w:sz="12" w:space="0"/>
                    <w:right w:val="nil"/>
                  </w:tcBorders>
                  <w:noWrap w:val="0"/>
                  <w:vAlign w:val="center"/>
                </w:tcPr>
                <w:p w14:paraId="1C6997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核算年排放量</w:t>
                  </w:r>
                </w:p>
                <w:p w14:paraId="505E3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w:t>
                  </w:r>
                  <w:r>
                    <w:rPr>
                      <w:rFonts w:hint="eastAsia" w:ascii="Times New Roman" w:hAnsi="Times New Roman" w:eastAsia="宋体" w:cs="Times New Roman"/>
                      <w:b w:val="0"/>
                      <w:bCs/>
                      <w:color w:val="auto"/>
                      <w:sz w:val="21"/>
                      <w:szCs w:val="21"/>
                      <w:highlight w:val="none"/>
                      <w:vertAlign w:val="baseline"/>
                      <w:lang w:val="en-US" w:eastAsia="zh-CN"/>
                    </w:rPr>
                    <w:t>t/a</w:t>
                  </w:r>
                  <w:r>
                    <w:rPr>
                      <w:rFonts w:hint="eastAsia" w:ascii="Times New Roman" w:hAnsi="Times New Roman" w:eastAsia="宋体" w:cs="Times New Roman"/>
                      <w:b w:val="0"/>
                      <w:bCs/>
                      <w:color w:val="auto"/>
                      <w:sz w:val="21"/>
                      <w:szCs w:val="21"/>
                      <w:highlight w:val="none"/>
                      <w:vertAlign w:val="baseline"/>
                      <w:lang w:eastAsia="zh-CN"/>
                    </w:rPr>
                    <w:t>）</w:t>
                  </w:r>
                </w:p>
              </w:tc>
            </w:tr>
            <w:tr w14:paraId="4F3D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5" w:type="dxa"/>
                  <w:gridSpan w:val="6"/>
                  <w:tcBorders>
                    <w:left w:val="nil"/>
                    <w:right w:val="nil"/>
                  </w:tcBorders>
                  <w:noWrap w:val="0"/>
                  <w:vAlign w:val="center"/>
                </w:tcPr>
                <w:p w14:paraId="2A7908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一般排放口</w:t>
                  </w:r>
                </w:p>
              </w:tc>
            </w:tr>
            <w:tr w14:paraId="335F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dxa"/>
                  <w:tcBorders>
                    <w:left w:val="nil"/>
                  </w:tcBorders>
                  <w:noWrap w:val="0"/>
                  <w:vAlign w:val="center"/>
                </w:tcPr>
                <w:p w14:paraId="3054CE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913" w:type="dxa"/>
                  <w:vMerge w:val="restart"/>
                  <w:noWrap w:val="0"/>
                  <w:vAlign w:val="center"/>
                </w:tcPr>
                <w:p w14:paraId="60AEC9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DA00</w:t>
                  </w:r>
                  <w:r>
                    <w:rPr>
                      <w:rFonts w:hint="eastAsia" w:cs="Times New Roman"/>
                      <w:b w:val="0"/>
                      <w:bCs/>
                      <w:color w:val="auto"/>
                      <w:sz w:val="21"/>
                      <w:szCs w:val="21"/>
                      <w:highlight w:val="none"/>
                      <w:vertAlign w:val="baseline"/>
                      <w:lang w:val="en-US" w:eastAsia="zh-CN"/>
                    </w:rPr>
                    <w:t>1</w:t>
                  </w:r>
                </w:p>
              </w:tc>
              <w:tc>
                <w:tcPr>
                  <w:tcW w:w="1132" w:type="dxa"/>
                  <w:noWrap w:val="0"/>
                  <w:vAlign w:val="center"/>
                </w:tcPr>
                <w:p w14:paraId="0E3A63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二氧化硫</w:t>
                  </w:r>
                </w:p>
              </w:tc>
              <w:tc>
                <w:tcPr>
                  <w:tcW w:w="1650" w:type="dxa"/>
                  <w:noWrap w:val="0"/>
                  <w:vAlign w:val="center"/>
                </w:tcPr>
                <w:p w14:paraId="7345B1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18.6</w:t>
                  </w:r>
                </w:p>
              </w:tc>
              <w:tc>
                <w:tcPr>
                  <w:tcW w:w="1528" w:type="dxa"/>
                  <w:noWrap w:val="0"/>
                  <w:vAlign w:val="center"/>
                </w:tcPr>
                <w:p w14:paraId="3F4048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0.0024</w:t>
                  </w:r>
                </w:p>
              </w:tc>
              <w:tc>
                <w:tcPr>
                  <w:tcW w:w="1531" w:type="dxa"/>
                  <w:tcBorders>
                    <w:right w:val="nil"/>
                  </w:tcBorders>
                  <w:noWrap w:val="0"/>
                  <w:vAlign w:val="center"/>
                </w:tcPr>
                <w:p w14:paraId="47090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0.0088</w:t>
                  </w:r>
                </w:p>
              </w:tc>
            </w:tr>
            <w:tr w14:paraId="488B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dxa"/>
                  <w:tcBorders>
                    <w:left w:val="nil"/>
                  </w:tcBorders>
                  <w:noWrap w:val="0"/>
                  <w:vAlign w:val="center"/>
                </w:tcPr>
                <w:p w14:paraId="2F74B5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913" w:type="dxa"/>
                  <w:vMerge w:val="continue"/>
                  <w:noWrap w:val="0"/>
                  <w:vAlign w:val="center"/>
                </w:tcPr>
                <w:p w14:paraId="0A5DD3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1132" w:type="dxa"/>
                  <w:noWrap w:val="0"/>
                  <w:vAlign w:val="center"/>
                </w:tcPr>
                <w:p w14:paraId="4455E2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氮氧化物</w:t>
                  </w:r>
                </w:p>
              </w:tc>
              <w:tc>
                <w:tcPr>
                  <w:tcW w:w="1650" w:type="dxa"/>
                  <w:noWrap w:val="0"/>
                  <w:vAlign w:val="center"/>
                </w:tcPr>
                <w:p w14:paraId="375A9E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166.3</w:t>
                  </w:r>
                </w:p>
              </w:tc>
              <w:tc>
                <w:tcPr>
                  <w:tcW w:w="1528" w:type="dxa"/>
                  <w:noWrap w:val="0"/>
                  <w:vAlign w:val="center"/>
                </w:tcPr>
                <w:p w14:paraId="3D532B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0.0214</w:t>
                  </w:r>
                </w:p>
              </w:tc>
              <w:tc>
                <w:tcPr>
                  <w:tcW w:w="1531" w:type="dxa"/>
                  <w:tcBorders>
                    <w:right w:val="nil"/>
                  </w:tcBorders>
                  <w:noWrap w:val="0"/>
                  <w:vAlign w:val="center"/>
                </w:tcPr>
                <w:p w14:paraId="76CBBC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0.077</w:t>
                  </w:r>
                </w:p>
              </w:tc>
            </w:tr>
            <w:tr w14:paraId="7BCA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dxa"/>
                  <w:tcBorders>
                    <w:left w:val="nil"/>
                  </w:tcBorders>
                  <w:noWrap w:val="0"/>
                  <w:vAlign w:val="center"/>
                </w:tcPr>
                <w:p w14:paraId="63A5FD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w:t>
                  </w:r>
                </w:p>
              </w:tc>
              <w:tc>
                <w:tcPr>
                  <w:tcW w:w="913" w:type="dxa"/>
                  <w:vMerge w:val="continue"/>
                  <w:noWrap w:val="0"/>
                  <w:vAlign w:val="center"/>
                </w:tcPr>
                <w:p w14:paraId="607A63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1132" w:type="dxa"/>
                  <w:noWrap w:val="0"/>
                  <w:vAlign w:val="center"/>
                </w:tcPr>
                <w:p w14:paraId="3A451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颗粒物</w:t>
                  </w:r>
                </w:p>
              </w:tc>
              <w:tc>
                <w:tcPr>
                  <w:tcW w:w="1650" w:type="dxa"/>
                  <w:noWrap w:val="0"/>
                  <w:vAlign w:val="center"/>
                </w:tcPr>
                <w:p w14:paraId="1385B5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7.8</w:t>
                  </w:r>
                </w:p>
              </w:tc>
              <w:tc>
                <w:tcPr>
                  <w:tcW w:w="1528" w:type="dxa"/>
                  <w:noWrap w:val="0"/>
                  <w:vAlign w:val="center"/>
                </w:tcPr>
                <w:p w14:paraId="035D52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0.0009</w:t>
                  </w:r>
                </w:p>
              </w:tc>
              <w:tc>
                <w:tcPr>
                  <w:tcW w:w="1531" w:type="dxa"/>
                  <w:tcBorders>
                    <w:right w:val="nil"/>
                  </w:tcBorders>
                  <w:noWrap w:val="0"/>
                  <w:vAlign w:val="center"/>
                </w:tcPr>
                <w:p w14:paraId="30C7AA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0.00344</w:t>
                  </w:r>
                </w:p>
              </w:tc>
            </w:tr>
            <w:tr w14:paraId="2537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dxa"/>
                  <w:tcBorders>
                    <w:left w:val="nil"/>
                  </w:tcBorders>
                  <w:noWrap w:val="0"/>
                  <w:vAlign w:val="center"/>
                </w:tcPr>
                <w:p w14:paraId="7563C5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w:t>
                  </w:r>
                </w:p>
              </w:tc>
              <w:tc>
                <w:tcPr>
                  <w:tcW w:w="913" w:type="dxa"/>
                  <w:noWrap w:val="0"/>
                  <w:vAlign w:val="center"/>
                </w:tcPr>
                <w:p w14:paraId="7D335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DA00</w:t>
                  </w:r>
                  <w:r>
                    <w:rPr>
                      <w:rFonts w:hint="eastAsia" w:cs="Times New Roman"/>
                      <w:b w:val="0"/>
                      <w:bCs/>
                      <w:color w:val="auto"/>
                      <w:sz w:val="21"/>
                      <w:szCs w:val="21"/>
                      <w:highlight w:val="none"/>
                      <w:vertAlign w:val="baseline"/>
                      <w:lang w:val="en-US" w:eastAsia="zh-CN"/>
                    </w:rPr>
                    <w:t>2</w:t>
                  </w:r>
                </w:p>
              </w:tc>
              <w:tc>
                <w:tcPr>
                  <w:tcW w:w="1132" w:type="dxa"/>
                  <w:noWrap w:val="0"/>
                  <w:vAlign w:val="center"/>
                </w:tcPr>
                <w:p w14:paraId="1B7467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eastAsia="zh-CN"/>
                    </w:rPr>
                    <w:t>非甲烷总烃</w:t>
                  </w:r>
                </w:p>
              </w:tc>
              <w:tc>
                <w:tcPr>
                  <w:tcW w:w="1650" w:type="dxa"/>
                  <w:noWrap w:val="0"/>
                  <w:vAlign w:val="center"/>
                </w:tcPr>
                <w:p w14:paraId="543608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2.7</w:t>
                  </w:r>
                </w:p>
              </w:tc>
              <w:tc>
                <w:tcPr>
                  <w:tcW w:w="1528" w:type="dxa"/>
                  <w:noWrap w:val="0"/>
                  <w:vAlign w:val="center"/>
                </w:tcPr>
                <w:p w14:paraId="0A8004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0.054</w:t>
                  </w:r>
                </w:p>
              </w:tc>
              <w:tc>
                <w:tcPr>
                  <w:tcW w:w="1531" w:type="dxa"/>
                  <w:tcBorders>
                    <w:right w:val="nil"/>
                  </w:tcBorders>
                  <w:noWrap w:val="0"/>
                  <w:vAlign w:val="center"/>
                </w:tcPr>
                <w:p w14:paraId="480DC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0.</w:t>
                  </w:r>
                  <w:r>
                    <w:rPr>
                      <w:rFonts w:hint="eastAsia" w:cs="Times New Roman"/>
                      <w:b w:val="0"/>
                      <w:bCs/>
                      <w:color w:val="auto"/>
                      <w:sz w:val="21"/>
                      <w:szCs w:val="21"/>
                      <w:highlight w:val="none"/>
                      <w:vertAlign w:val="baseline"/>
                      <w:lang w:val="en-US" w:eastAsia="zh-CN"/>
                    </w:rPr>
                    <w:t>193</w:t>
                  </w:r>
                </w:p>
              </w:tc>
            </w:tr>
            <w:tr w14:paraId="0734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5" w:type="dxa"/>
                  <w:gridSpan w:val="6"/>
                  <w:tcBorders>
                    <w:left w:val="nil"/>
                    <w:right w:val="nil"/>
                  </w:tcBorders>
                  <w:noWrap w:val="0"/>
                  <w:vAlign w:val="center"/>
                </w:tcPr>
                <w:p w14:paraId="30FB42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有组织排放总计</w:t>
                  </w:r>
                </w:p>
              </w:tc>
            </w:tr>
            <w:tr w14:paraId="4DC7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dxa"/>
                  <w:vMerge w:val="restart"/>
                  <w:tcBorders>
                    <w:left w:val="nil"/>
                  </w:tcBorders>
                  <w:noWrap w:val="0"/>
                  <w:vAlign w:val="center"/>
                </w:tcPr>
                <w:p w14:paraId="1E348A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排放</w:t>
                  </w:r>
                  <w:r>
                    <w:rPr>
                      <w:rFonts w:hint="eastAsia" w:cs="Times New Roman"/>
                      <w:b w:val="0"/>
                      <w:bCs/>
                      <w:color w:val="auto"/>
                      <w:sz w:val="21"/>
                      <w:szCs w:val="21"/>
                      <w:highlight w:val="none"/>
                      <w:vertAlign w:val="baseline"/>
                      <w:lang w:eastAsia="zh-CN"/>
                    </w:rPr>
                    <w:t>量</w:t>
                  </w:r>
                  <w:r>
                    <w:rPr>
                      <w:rFonts w:hint="eastAsia" w:ascii="Times New Roman" w:hAnsi="Times New Roman" w:eastAsia="宋体" w:cs="Times New Roman"/>
                      <w:b w:val="0"/>
                      <w:bCs/>
                      <w:color w:val="auto"/>
                      <w:sz w:val="21"/>
                      <w:szCs w:val="21"/>
                      <w:highlight w:val="none"/>
                      <w:vertAlign w:val="baseline"/>
                      <w:lang w:eastAsia="zh-CN"/>
                    </w:rPr>
                    <w:t>总计</w:t>
                  </w:r>
                </w:p>
              </w:tc>
              <w:tc>
                <w:tcPr>
                  <w:tcW w:w="5223" w:type="dxa"/>
                  <w:gridSpan w:val="4"/>
                  <w:noWrap w:val="0"/>
                  <w:vAlign w:val="center"/>
                </w:tcPr>
                <w:p w14:paraId="774BB2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二氧化硫</w:t>
                  </w:r>
                </w:p>
              </w:tc>
              <w:tc>
                <w:tcPr>
                  <w:tcW w:w="1531" w:type="dxa"/>
                  <w:tcBorders>
                    <w:right w:val="nil"/>
                  </w:tcBorders>
                  <w:noWrap w:val="0"/>
                  <w:vAlign w:val="center"/>
                </w:tcPr>
                <w:p w14:paraId="4FA63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0.0088</w:t>
                  </w:r>
                </w:p>
              </w:tc>
            </w:tr>
            <w:tr w14:paraId="0094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dxa"/>
                  <w:vMerge w:val="continue"/>
                  <w:tcBorders>
                    <w:left w:val="nil"/>
                  </w:tcBorders>
                  <w:noWrap w:val="0"/>
                  <w:vAlign w:val="center"/>
                </w:tcPr>
                <w:p w14:paraId="0CD28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p>
              </w:tc>
              <w:tc>
                <w:tcPr>
                  <w:tcW w:w="5223" w:type="dxa"/>
                  <w:gridSpan w:val="4"/>
                  <w:noWrap w:val="0"/>
                  <w:vAlign w:val="center"/>
                </w:tcPr>
                <w:p w14:paraId="3CDC31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氮氧化物</w:t>
                  </w:r>
                </w:p>
              </w:tc>
              <w:tc>
                <w:tcPr>
                  <w:tcW w:w="1531" w:type="dxa"/>
                  <w:tcBorders>
                    <w:right w:val="nil"/>
                  </w:tcBorders>
                  <w:noWrap w:val="0"/>
                  <w:vAlign w:val="center"/>
                </w:tcPr>
                <w:p w14:paraId="2CA388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0.077</w:t>
                  </w:r>
                </w:p>
              </w:tc>
            </w:tr>
            <w:tr w14:paraId="52DF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dxa"/>
                  <w:vMerge w:val="continue"/>
                  <w:tcBorders>
                    <w:left w:val="nil"/>
                  </w:tcBorders>
                  <w:noWrap w:val="0"/>
                  <w:vAlign w:val="center"/>
                </w:tcPr>
                <w:p w14:paraId="41B3D7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p>
              </w:tc>
              <w:tc>
                <w:tcPr>
                  <w:tcW w:w="5223" w:type="dxa"/>
                  <w:gridSpan w:val="4"/>
                  <w:noWrap w:val="0"/>
                  <w:vAlign w:val="center"/>
                </w:tcPr>
                <w:p w14:paraId="0F1C84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颗粒物</w:t>
                  </w:r>
                </w:p>
              </w:tc>
              <w:tc>
                <w:tcPr>
                  <w:tcW w:w="1531" w:type="dxa"/>
                  <w:tcBorders>
                    <w:right w:val="nil"/>
                  </w:tcBorders>
                  <w:noWrap w:val="0"/>
                  <w:vAlign w:val="center"/>
                </w:tcPr>
                <w:p w14:paraId="30D70C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0.00344</w:t>
                  </w:r>
                </w:p>
              </w:tc>
            </w:tr>
            <w:tr w14:paraId="50CB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dxa"/>
                  <w:vMerge w:val="continue"/>
                  <w:tcBorders>
                    <w:left w:val="nil"/>
                    <w:bottom w:val="single" w:color="auto" w:sz="12" w:space="0"/>
                  </w:tcBorders>
                  <w:noWrap w:val="0"/>
                  <w:vAlign w:val="center"/>
                </w:tcPr>
                <w:p w14:paraId="4B441B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p>
              </w:tc>
              <w:tc>
                <w:tcPr>
                  <w:tcW w:w="5223" w:type="dxa"/>
                  <w:gridSpan w:val="4"/>
                  <w:tcBorders>
                    <w:bottom w:val="single" w:color="auto" w:sz="12" w:space="0"/>
                  </w:tcBorders>
                  <w:noWrap w:val="0"/>
                  <w:vAlign w:val="center"/>
                </w:tcPr>
                <w:p w14:paraId="409046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eastAsia="zh-CN"/>
                    </w:rPr>
                    <w:t>非甲烷总烃</w:t>
                  </w:r>
                </w:p>
              </w:tc>
              <w:tc>
                <w:tcPr>
                  <w:tcW w:w="1531" w:type="dxa"/>
                  <w:tcBorders>
                    <w:bottom w:val="single" w:color="auto" w:sz="12" w:space="0"/>
                    <w:right w:val="nil"/>
                  </w:tcBorders>
                  <w:noWrap w:val="0"/>
                  <w:vAlign w:val="center"/>
                </w:tcPr>
                <w:p w14:paraId="37146E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0.</w:t>
                  </w:r>
                  <w:r>
                    <w:rPr>
                      <w:rFonts w:hint="eastAsia" w:cs="Times New Roman"/>
                      <w:b w:val="0"/>
                      <w:bCs/>
                      <w:color w:val="auto"/>
                      <w:sz w:val="21"/>
                      <w:szCs w:val="21"/>
                      <w:highlight w:val="none"/>
                      <w:vertAlign w:val="baseline"/>
                      <w:lang w:val="en-US" w:eastAsia="zh-CN"/>
                    </w:rPr>
                    <w:t>193</w:t>
                  </w:r>
                </w:p>
              </w:tc>
            </w:tr>
          </w:tbl>
          <w:p w14:paraId="2C66F702">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eastAsia="zh-CN"/>
              </w:rPr>
              <w:t>表</w:t>
            </w:r>
            <w:r>
              <w:rPr>
                <w:rFonts w:hint="eastAsia" w:ascii="Times New Roman" w:hAnsi="Times New Roman" w:eastAsia="宋体" w:cs="Times New Roman"/>
                <w:b/>
                <w:bCs w:val="0"/>
                <w:color w:val="auto"/>
                <w:sz w:val="24"/>
                <w:szCs w:val="24"/>
                <w:highlight w:val="none"/>
                <w:lang w:val="en-US" w:eastAsia="zh-CN"/>
              </w:rPr>
              <w:t>4-</w:t>
            </w:r>
            <w:r>
              <w:rPr>
                <w:rFonts w:hint="eastAsia" w:cs="Times New Roman"/>
                <w:b/>
                <w:bCs w:val="0"/>
                <w:color w:val="auto"/>
                <w:sz w:val="24"/>
                <w:szCs w:val="24"/>
                <w:highlight w:val="none"/>
                <w:lang w:val="en-US" w:eastAsia="zh-CN"/>
              </w:rPr>
              <w:t>7</w:t>
            </w:r>
            <w:r>
              <w:rPr>
                <w:rFonts w:hint="eastAsia" w:ascii="Times New Roman" w:hAnsi="Times New Roman" w:eastAsia="宋体" w:cs="Times New Roman"/>
                <w:b/>
                <w:bCs w:val="0"/>
                <w:color w:val="auto"/>
                <w:sz w:val="24"/>
                <w:szCs w:val="24"/>
                <w:highlight w:val="none"/>
                <w:lang w:val="en-US" w:eastAsia="zh-CN"/>
              </w:rPr>
              <w:t>大气污染物无组织排放量核算表</w:t>
            </w:r>
          </w:p>
          <w:tbl>
            <w:tblPr>
              <w:tblStyle w:val="2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012"/>
              <w:gridCol w:w="1018"/>
              <w:gridCol w:w="2247"/>
              <w:gridCol w:w="1299"/>
              <w:gridCol w:w="1285"/>
            </w:tblGrid>
            <w:tr w14:paraId="736F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restart"/>
                  <w:tcBorders>
                    <w:top w:val="single" w:color="auto" w:sz="12" w:space="0"/>
                    <w:left w:val="nil"/>
                  </w:tcBorders>
                  <w:noWrap w:val="0"/>
                  <w:vAlign w:val="center"/>
                </w:tcPr>
                <w:p w14:paraId="6C8EE3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序号</w:t>
                  </w:r>
                </w:p>
              </w:tc>
              <w:tc>
                <w:tcPr>
                  <w:tcW w:w="1012" w:type="dxa"/>
                  <w:vMerge w:val="restart"/>
                  <w:tcBorders>
                    <w:top w:val="single" w:color="auto" w:sz="12" w:space="0"/>
                  </w:tcBorders>
                  <w:noWrap w:val="0"/>
                  <w:vAlign w:val="center"/>
                </w:tcPr>
                <w:p w14:paraId="63EA46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污染物</w:t>
                  </w:r>
                </w:p>
              </w:tc>
              <w:tc>
                <w:tcPr>
                  <w:tcW w:w="1018" w:type="dxa"/>
                  <w:vMerge w:val="restart"/>
                  <w:tcBorders>
                    <w:top w:val="single" w:color="auto" w:sz="12" w:space="0"/>
                  </w:tcBorders>
                  <w:noWrap w:val="0"/>
                  <w:vAlign w:val="center"/>
                </w:tcPr>
                <w:p w14:paraId="0DF34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主要污染防治措施</w:t>
                  </w:r>
                </w:p>
              </w:tc>
              <w:tc>
                <w:tcPr>
                  <w:tcW w:w="3546" w:type="dxa"/>
                  <w:gridSpan w:val="2"/>
                  <w:tcBorders>
                    <w:top w:val="single" w:color="auto" w:sz="12" w:space="0"/>
                  </w:tcBorders>
                  <w:noWrap w:val="0"/>
                  <w:vAlign w:val="center"/>
                </w:tcPr>
                <w:p w14:paraId="4E194F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国家或地方污染物排放标准</w:t>
                  </w:r>
                </w:p>
              </w:tc>
              <w:tc>
                <w:tcPr>
                  <w:tcW w:w="1285" w:type="dxa"/>
                  <w:vMerge w:val="restart"/>
                  <w:tcBorders>
                    <w:top w:val="single" w:color="auto" w:sz="12" w:space="0"/>
                    <w:right w:val="nil"/>
                  </w:tcBorders>
                  <w:noWrap w:val="0"/>
                  <w:vAlign w:val="center"/>
                </w:tcPr>
                <w:p w14:paraId="5F7FD7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eastAsia="zh-CN"/>
                    </w:rPr>
                    <w:t>年排放量</w:t>
                  </w:r>
                  <w:r>
                    <w:rPr>
                      <w:rFonts w:hint="eastAsia" w:ascii="Times New Roman" w:hAnsi="Times New Roman" w:eastAsia="宋体" w:cs="Times New Roman"/>
                      <w:b w:val="0"/>
                      <w:bCs/>
                      <w:color w:val="auto"/>
                      <w:sz w:val="21"/>
                      <w:szCs w:val="21"/>
                      <w:highlight w:val="none"/>
                      <w:vertAlign w:val="baseline"/>
                      <w:lang w:val="en-US" w:eastAsia="zh-CN"/>
                    </w:rPr>
                    <w:t>t/a</w:t>
                  </w:r>
                </w:p>
              </w:tc>
            </w:tr>
            <w:tr w14:paraId="49A9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left w:val="nil"/>
                  </w:tcBorders>
                  <w:noWrap w:val="0"/>
                  <w:vAlign w:val="center"/>
                </w:tcPr>
                <w:p w14:paraId="7BE88B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012" w:type="dxa"/>
                  <w:vMerge w:val="continue"/>
                  <w:noWrap w:val="0"/>
                  <w:vAlign w:val="center"/>
                </w:tcPr>
                <w:p w14:paraId="3B4BEA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018" w:type="dxa"/>
                  <w:vMerge w:val="continue"/>
                  <w:noWrap w:val="0"/>
                  <w:vAlign w:val="center"/>
                </w:tcPr>
                <w:p w14:paraId="1E790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2247" w:type="dxa"/>
                  <w:noWrap w:val="0"/>
                  <w:vAlign w:val="center"/>
                </w:tcPr>
                <w:p w14:paraId="383940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标准名称</w:t>
                  </w:r>
                </w:p>
              </w:tc>
              <w:tc>
                <w:tcPr>
                  <w:tcW w:w="1299" w:type="dxa"/>
                  <w:noWrap w:val="0"/>
                  <w:vAlign w:val="center"/>
                </w:tcPr>
                <w:p w14:paraId="60DE88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eastAsia="zh-CN"/>
                    </w:rPr>
                    <w:t>浓度限值</w:t>
                  </w:r>
                  <w:r>
                    <w:rPr>
                      <w:rFonts w:hint="eastAsia" w:ascii="Times New Roman" w:hAnsi="Times New Roman" w:eastAsia="宋体" w:cs="Times New Roman"/>
                      <w:b w:val="0"/>
                      <w:bCs/>
                      <w:color w:val="auto"/>
                      <w:sz w:val="21"/>
                      <w:szCs w:val="21"/>
                      <w:highlight w:val="none"/>
                      <w:vertAlign w:val="baseline"/>
                      <w:lang w:val="en-US" w:eastAsia="zh-CN"/>
                    </w:rPr>
                    <w:t>/（</w:t>
                  </w:r>
                  <w:r>
                    <w:rPr>
                      <w:rFonts w:hint="eastAsia" w:cs="Times New Roman"/>
                      <w:b w:val="0"/>
                      <w:bCs/>
                      <w:color w:val="auto"/>
                      <w:sz w:val="21"/>
                      <w:szCs w:val="21"/>
                      <w:highlight w:val="none"/>
                      <w:vertAlign w:val="baseline"/>
                      <w:lang w:val="en-US" w:eastAsia="zh-CN"/>
                    </w:rPr>
                    <w:t>mg</w:t>
                  </w:r>
                  <w:r>
                    <w:rPr>
                      <w:rFonts w:hint="eastAsia" w:ascii="Times New Roman" w:hAnsi="Times New Roman" w:eastAsia="宋体" w:cs="Times New Roman"/>
                      <w:b w:val="0"/>
                      <w:bCs/>
                      <w:color w:val="auto"/>
                      <w:sz w:val="21"/>
                      <w:szCs w:val="21"/>
                      <w:highlight w:val="none"/>
                      <w:vertAlign w:val="baseline"/>
                      <w:lang w:val="en-US" w:eastAsia="zh-CN"/>
                    </w:rPr>
                    <w:t>/m</w:t>
                  </w:r>
                  <w:r>
                    <w:rPr>
                      <w:rFonts w:hint="eastAsia" w:ascii="Times New Roman" w:hAnsi="Times New Roman" w:eastAsia="宋体" w:cs="Times New Roman"/>
                      <w:b w:val="0"/>
                      <w:bCs/>
                      <w:color w:val="auto"/>
                      <w:sz w:val="21"/>
                      <w:szCs w:val="21"/>
                      <w:highlight w:val="none"/>
                      <w:vertAlign w:val="superscript"/>
                      <w:lang w:val="en-US" w:eastAsia="zh-CN"/>
                    </w:rPr>
                    <w:t>3</w:t>
                  </w:r>
                  <w:r>
                    <w:rPr>
                      <w:rFonts w:hint="eastAsia" w:ascii="Times New Roman" w:hAnsi="Times New Roman" w:eastAsia="宋体" w:cs="Times New Roman"/>
                      <w:b w:val="0"/>
                      <w:bCs/>
                      <w:color w:val="auto"/>
                      <w:sz w:val="21"/>
                      <w:szCs w:val="21"/>
                      <w:highlight w:val="none"/>
                      <w:vertAlign w:val="baseline"/>
                      <w:lang w:val="en-US" w:eastAsia="zh-CN"/>
                    </w:rPr>
                    <w:t>）</w:t>
                  </w:r>
                </w:p>
              </w:tc>
              <w:tc>
                <w:tcPr>
                  <w:tcW w:w="1285" w:type="dxa"/>
                  <w:vMerge w:val="continue"/>
                  <w:tcBorders>
                    <w:right w:val="nil"/>
                  </w:tcBorders>
                  <w:noWrap w:val="0"/>
                  <w:vAlign w:val="center"/>
                </w:tcPr>
                <w:p w14:paraId="63F438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r>
            <w:tr w14:paraId="43CD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5" w:type="dxa"/>
                  <w:gridSpan w:val="6"/>
                  <w:tcBorders>
                    <w:left w:val="nil"/>
                    <w:right w:val="nil"/>
                  </w:tcBorders>
                  <w:noWrap w:val="0"/>
                  <w:vAlign w:val="center"/>
                </w:tcPr>
                <w:p w14:paraId="583D3D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一般排放口</w:t>
                  </w:r>
                </w:p>
              </w:tc>
            </w:tr>
            <w:tr w14:paraId="105E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Borders>
                    <w:left w:val="nil"/>
                  </w:tcBorders>
                  <w:noWrap w:val="0"/>
                  <w:vAlign w:val="center"/>
                </w:tcPr>
                <w:p w14:paraId="7E9817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1012" w:type="dxa"/>
                  <w:noWrap w:val="0"/>
                  <w:vAlign w:val="center"/>
                </w:tcPr>
                <w:p w14:paraId="7BF19F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二氧化硫</w:t>
                  </w:r>
                </w:p>
              </w:tc>
              <w:tc>
                <w:tcPr>
                  <w:tcW w:w="1018" w:type="dxa"/>
                  <w:vMerge w:val="restart"/>
                  <w:noWrap w:val="0"/>
                  <w:vAlign w:val="center"/>
                </w:tcPr>
                <w:p w14:paraId="588393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加强车间密闭</w:t>
                  </w:r>
                </w:p>
              </w:tc>
              <w:tc>
                <w:tcPr>
                  <w:tcW w:w="2247" w:type="dxa"/>
                  <w:vMerge w:val="restart"/>
                  <w:noWrap w:val="0"/>
                  <w:vAlign w:val="center"/>
                </w:tcPr>
                <w:p w14:paraId="29E31A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GB13271-2014《锅炉大气污染物排放标准》</w:t>
                  </w:r>
                </w:p>
              </w:tc>
              <w:tc>
                <w:tcPr>
                  <w:tcW w:w="1299" w:type="dxa"/>
                  <w:noWrap w:val="0"/>
                  <w:vAlign w:val="center"/>
                </w:tcPr>
                <w:p w14:paraId="75EF87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20</w:t>
                  </w:r>
                </w:p>
              </w:tc>
              <w:tc>
                <w:tcPr>
                  <w:tcW w:w="1285" w:type="dxa"/>
                  <w:tcBorders>
                    <w:right w:val="nil"/>
                  </w:tcBorders>
                  <w:noWrap w:val="0"/>
                  <w:vAlign w:val="center"/>
                </w:tcPr>
                <w:p w14:paraId="59E9DA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0.0022</w:t>
                  </w:r>
                </w:p>
              </w:tc>
            </w:tr>
            <w:tr w14:paraId="3076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54" w:type="dxa"/>
                  <w:tcBorders>
                    <w:left w:val="nil"/>
                  </w:tcBorders>
                  <w:noWrap w:val="0"/>
                  <w:vAlign w:val="center"/>
                </w:tcPr>
                <w:p w14:paraId="37B9E4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012" w:type="dxa"/>
                  <w:noWrap w:val="0"/>
                  <w:vAlign w:val="center"/>
                </w:tcPr>
                <w:p w14:paraId="47B216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氮氧化物</w:t>
                  </w:r>
                </w:p>
              </w:tc>
              <w:tc>
                <w:tcPr>
                  <w:tcW w:w="1018" w:type="dxa"/>
                  <w:vMerge w:val="continue"/>
                  <w:noWrap w:val="0"/>
                  <w:vAlign w:val="center"/>
                </w:tcPr>
                <w:p w14:paraId="69EC8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p>
              </w:tc>
              <w:tc>
                <w:tcPr>
                  <w:tcW w:w="2247" w:type="dxa"/>
                  <w:vMerge w:val="continue"/>
                  <w:noWrap w:val="0"/>
                  <w:vAlign w:val="center"/>
                </w:tcPr>
                <w:p w14:paraId="4F142D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299" w:type="dxa"/>
                  <w:noWrap w:val="0"/>
                  <w:vAlign w:val="center"/>
                </w:tcPr>
                <w:p w14:paraId="42E5E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50</w:t>
                  </w:r>
                </w:p>
              </w:tc>
              <w:tc>
                <w:tcPr>
                  <w:tcW w:w="1285" w:type="dxa"/>
                  <w:tcBorders>
                    <w:right w:val="nil"/>
                  </w:tcBorders>
                  <w:noWrap w:val="0"/>
                  <w:vAlign w:val="center"/>
                </w:tcPr>
                <w:p w14:paraId="51CA30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0.0193</w:t>
                  </w:r>
                </w:p>
              </w:tc>
            </w:tr>
            <w:tr w14:paraId="59E9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Borders>
                    <w:left w:val="nil"/>
                  </w:tcBorders>
                  <w:noWrap w:val="0"/>
                  <w:vAlign w:val="center"/>
                </w:tcPr>
                <w:p w14:paraId="5F0917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w:t>
                  </w:r>
                </w:p>
              </w:tc>
              <w:tc>
                <w:tcPr>
                  <w:tcW w:w="1012" w:type="dxa"/>
                  <w:noWrap w:val="0"/>
                  <w:vAlign w:val="center"/>
                </w:tcPr>
                <w:p w14:paraId="50D405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颗粒物</w:t>
                  </w:r>
                </w:p>
              </w:tc>
              <w:tc>
                <w:tcPr>
                  <w:tcW w:w="1018" w:type="dxa"/>
                  <w:vMerge w:val="continue"/>
                  <w:noWrap w:val="0"/>
                  <w:vAlign w:val="center"/>
                </w:tcPr>
                <w:p w14:paraId="121F03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highlight w:val="none"/>
                      <w:vertAlign w:val="baseline"/>
                      <w:lang w:eastAsia="zh-CN"/>
                    </w:rPr>
                  </w:pPr>
                </w:p>
              </w:tc>
              <w:tc>
                <w:tcPr>
                  <w:tcW w:w="2247" w:type="dxa"/>
                  <w:vMerge w:val="continue"/>
                  <w:noWrap w:val="0"/>
                  <w:vAlign w:val="center"/>
                </w:tcPr>
                <w:p w14:paraId="4C22EB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299" w:type="dxa"/>
                  <w:noWrap w:val="0"/>
                  <w:vAlign w:val="center"/>
                </w:tcPr>
                <w:p w14:paraId="3B45D0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200</w:t>
                  </w:r>
                </w:p>
              </w:tc>
              <w:tc>
                <w:tcPr>
                  <w:tcW w:w="1285" w:type="dxa"/>
                  <w:tcBorders>
                    <w:right w:val="nil"/>
                  </w:tcBorders>
                  <w:noWrap w:val="0"/>
                  <w:vAlign w:val="center"/>
                </w:tcPr>
                <w:p w14:paraId="10F298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0.00086</w:t>
                  </w:r>
                </w:p>
              </w:tc>
            </w:tr>
            <w:tr w14:paraId="0AF8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Borders>
                    <w:left w:val="nil"/>
                  </w:tcBorders>
                  <w:noWrap w:val="0"/>
                  <w:vAlign w:val="center"/>
                </w:tcPr>
                <w:p w14:paraId="1616B1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1012" w:type="dxa"/>
                  <w:noWrap w:val="0"/>
                  <w:vAlign w:val="center"/>
                </w:tcPr>
                <w:p w14:paraId="384783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非甲烷总烃</w:t>
                  </w:r>
                </w:p>
              </w:tc>
              <w:tc>
                <w:tcPr>
                  <w:tcW w:w="1018" w:type="dxa"/>
                  <w:noWrap w:val="0"/>
                  <w:vAlign w:val="center"/>
                </w:tcPr>
                <w:p w14:paraId="5AA616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加强车间密闭</w:t>
                  </w:r>
                </w:p>
              </w:tc>
              <w:tc>
                <w:tcPr>
                  <w:tcW w:w="2247" w:type="dxa"/>
                  <w:noWrap w:val="0"/>
                  <w:vAlign w:val="center"/>
                </w:tcPr>
                <w:p w14:paraId="270ADB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DB35/1784-2018《印刷行业挥发性有机物排放标准》</w:t>
                  </w:r>
                </w:p>
              </w:tc>
              <w:tc>
                <w:tcPr>
                  <w:tcW w:w="1299" w:type="dxa"/>
                  <w:noWrap w:val="0"/>
                  <w:vAlign w:val="center"/>
                </w:tcPr>
                <w:p w14:paraId="440580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w:t>
                  </w:r>
                </w:p>
              </w:tc>
              <w:tc>
                <w:tcPr>
                  <w:tcW w:w="1285" w:type="dxa"/>
                  <w:tcBorders>
                    <w:right w:val="nil"/>
                  </w:tcBorders>
                  <w:noWrap w:val="0"/>
                  <w:vAlign w:val="center"/>
                </w:tcPr>
                <w:p w14:paraId="3FF58E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w:t>
                  </w:r>
                  <w:r>
                    <w:rPr>
                      <w:rFonts w:hint="eastAsia" w:cs="Times New Roman"/>
                      <w:b w:val="0"/>
                      <w:bCs/>
                      <w:color w:val="auto"/>
                      <w:sz w:val="21"/>
                      <w:szCs w:val="21"/>
                      <w:highlight w:val="none"/>
                      <w:vertAlign w:val="baseline"/>
                      <w:lang w:val="en-US" w:eastAsia="zh-CN"/>
                    </w:rPr>
                    <w:t>97</w:t>
                  </w:r>
                  <w:r>
                    <w:rPr>
                      <w:rFonts w:hint="eastAsia" w:ascii="Times New Roman" w:hAnsi="Times New Roman" w:eastAsia="宋体" w:cs="Times New Roman"/>
                      <w:b w:val="0"/>
                      <w:bCs/>
                      <w:color w:val="auto"/>
                      <w:sz w:val="21"/>
                      <w:szCs w:val="21"/>
                      <w:highlight w:val="none"/>
                      <w:vertAlign w:val="baseline"/>
                      <w:lang w:val="en-US" w:eastAsia="zh-CN"/>
                    </w:rPr>
                    <w:t>5</w:t>
                  </w:r>
                </w:p>
              </w:tc>
            </w:tr>
            <w:tr w14:paraId="745F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5" w:type="dxa"/>
                  <w:gridSpan w:val="6"/>
                  <w:tcBorders>
                    <w:left w:val="nil"/>
                    <w:right w:val="nil"/>
                  </w:tcBorders>
                  <w:noWrap w:val="0"/>
                  <w:vAlign w:val="center"/>
                </w:tcPr>
                <w:p w14:paraId="711A44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无</w:t>
                  </w:r>
                  <w:r>
                    <w:rPr>
                      <w:rFonts w:hint="eastAsia" w:ascii="Times New Roman" w:hAnsi="Times New Roman" w:eastAsia="宋体" w:cs="Times New Roman"/>
                      <w:b w:val="0"/>
                      <w:bCs/>
                      <w:color w:val="auto"/>
                      <w:sz w:val="21"/>
                      <w:szCs w:val="21"/>
                      <w:highlight w:val="none"/>
                      <w:vertAlign w:val="baseline"/>
                      <w:lang w:eastAsia="zh-CN"/>
                    </w:rPr>
                    <w:t>组织排放总计</w:t>
                  </w:r>
                </w:p>
              </w:tc>
            </w:tr>
            <w:tr w14:paraId="1386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restart"/>
                  <w:tcBorders>
                    <w:left w:val="nil"/>
                  </w:tcBorders>
                  <w:noWrap w:val="0"/>
                  <w:vAlign w:val="center"/>
                </w:tcPr>
                <w:p w14:paraId="68F9F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排放量总计</w:t>
                  </w:r>
                </w:p>
              </w:tc>
              <w:tc>
                <w:tcPr>
                  <w:tcW w:w="5576" w:type="dxa"/>
                  <w:gridSpan w:val="4"/>
                  <w:noWrap w:val="0"/>
                  <w:vAlign w:val="center"/>
                </w:tcPr>
                <w:p w14:paraId="479658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二氧化硫</w:t>
                  </w:r>
                </w:p>
              </w:tc>
              <w:tc>
                <w:tcPr>
                  <w:tcW w:w="1285" w:type="dxa"/>
                  <w:tcBorders>
                    <w:right w:val="nil"/>
                  </w:tcBorders>
                  <w:noWrap w:val="0"/>
                  <w:vAlign w:val="center"/>
                </w:tcPr>
                <w:p w14:paraId="03863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0.0022</w:t>
                  </w:r>
                </w:p>
              </w:tc>
            </w:tr>
            <w:tr w14:paraId="00A8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left w:val="nil"/>
                  </w:tcBorders>
                  <w:noWrap w:val="0"/>
                  <w:vAlign w:val="center"/>
                </w:tcPr>
                <w:p w14:paraId="08A50F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p>
              </w:tc>
              <w:tc>
                <w:tcPr>
                  <w:tcW w:w="5576" w:type="dxa"/>
                  <w:gridSpan w:val="4"/>
                  <w:noWrap w:val="0"/>
                  <w:vAlign w:val="center"/>
                </w:tcPr>
                <w:p w14:paraId="5D640A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氮氧化物</w:t>
                  </w:r>
                </w:p>
              </w:tc>
              <w:tc>
                <w:tcPr>
                  <w:tcW w:w="1285" w:type="dxa"/>
                  <w:tcBorders>
                    <w:right w:val="nil"/>
                  </w:tcBorders>
                  <w:noWrap w:val="0"/>
                  <w:vAlign w:val="center"/>
                </w:tcPr>
                <w:p w14:paraId="66A4F7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0.0193</w:t>
                  </w:r>
                </w:p>
              </w:tc>
            </w:tr>
            <w:tr w14:paraId="46F2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left w:val="nil"/>
                  </w:tcBorders>
                  <w:noWrap w:val="0"/>
                  <w:vAlign w:val="center"/>
                </w:tcPr>
                <w:p w14:paraId="660BA9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p>
              </w:tc>
              <w:tc>
                <w:tcPr>
                  <w:tcW w:w="5576" w:type="dxa"/>
                  <w:gridSpan w:val="4"/>
                  <w:noWrap w:val="0"/>
                  <w:vAlign w:val="center"/>
                </w:tcPr>
                <w:p w14:paraId="6EBDC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颗粒物</w:t>
                  </w:r>
                </w:p>
              </w:tc>
              <w:tc>
                <w:tcPr>
                  <w:tcW w:w="1285" w:type="dxa"/>
                  <w:tcBorders>
                    <w:right w:val="nil"/>
                  </w:tcBorders>
                  <w:noWrap w:val="0"/>
                  <w:vAlign w:val="center"/>
                </w:tcPr>
                <w:p w14:paraId="02AAD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0.00086</w:t>
                  </w:r>
                </w:p>
              </w:tc>
            </w:tr>
            <w:tr w14:paraId="564F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left w:val="nil"/>
                    <w:bottom w:val="single" w:color="auto" w:sz="12" w:space="0"/>
                  </w:tcBorders>
                  <w:noWrap w:val="0"/>
                  <w:vAlign w:val="center"/>
                </w:tcPr>
                <w:p w14:paraId="2E107B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p>
              </w:tc>
              <w:tc>
                <w:tcPr>
                  <w:tcW w:w="5576" w:type="dxa"/>
                  <w:gridSpan w:val="4"/>
                  <w:tcBorders>
                    <w:bottom w:val="single" w:color="auto" w:sz="12" w:space="0"/>
                  </w:tcBorders>
                  <w:noWrap w:val="0"/>
                  <w:vAlign w:val="center"/>
                </w:tcPr>
                <w:p w14:paraId="7651EF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eastAsia="zh-CN"/>
                    </w:rPr>
                    <w:t>非甲烷总烃</w:t>
                  </w:r>
                </w:p>
              </w:tc>
              <w:tc>
                <w:tcPr>
                  <w:tcW w:w="1285" w:type="dxa"/>
                  <w:tcBorders>
                    <w:bottom w:val="single" w:color="auto" w:sz="12" w:space="0"/>
                    <w:right w:val="nil"/>
                  </w:tcBorders>
                  <w:noWrap w:val="0"/>
                  <w:vAlign w:val="center"/>
                </w:tcPr>
                <w:p w14:paraId="7C8F8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0.0</w:t>
                  </w:r>
                  <w:r>
                    <w:rPr>
                      <w:rFonts w:hint="eastAsia" w:cs="Times New Roman"/>
                      <w:b w:val="0"/>
                      <w:bCs/>
                      <w:color w:val="auto"/>
                      <w:sz w:val="21"/>
                      <w:szCs w:val="21"/>
                      <w:highlight w:val="none"/>
                      <w:vertAlign w:val="baseline"/>
                      <w:lang w:val="en-US" w:eastAsia="zh-CN"/>
                    </w:rPr>
                    <w:t>975</w:t>
                  </w:r>
                </w:p>
              </w:tc>
            </w:tr>
          </w:tbl>
          <w:p w14:paraId="0F82841E">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eastAsia="zh-CN"/>
              </w:rPr>
              <w:t>表</w:t>
            </w:r>
            <w:r>
              <w:rPr>
                <w:rFonts w:hint="eastAsia" w:ascii="Times New Roman" w:hAnsi="Times New Roman" w:eastAsia="宋体" w:cs="Times New Roman"/>
                <w:b/>
                <w:bCs w:val="0"/>
                <w:color w:val="auto"/>
                <w:sz w:val="24"/>
                <w:szCs w:val="24"/>
                <w:highlight w:val="none"/>
                <w:lang w:val="en-US" w:eastAsia="zh-CN"/>
              </w:rPr>
              <w:t>4-</w:t>
            </w:r>
            <w:r>
              <w:rPr>
                <w:rFonts w:hint="eastAsia" w:cs="Times New Roman"/>
                <w:b/>
                <w:bCs w:val="0"/>
                <w:color w:val="auto"/>
                <w:sz w:val="24"/>
                <w:szCs w:val="24"/>
                <w:highlight w:val="none"/>
                <w:lang w:val="en-US" w:eastAsia="zh-CN"/>
              </w:rPr>
              <w:t>8</w:t>
            </w:r>
            <w:r>
              <w:rPr>
                <w:rFonts w:hint="eastAsia" w:ascii="Times New Roman" w:hAnsi="Times New Roman" w:eastAsia="宋体" w:cs="Times New Roman"/>
                <w:b/>
                <w:bCs w:val="0"/>
                <w:color w:val="auto"/>
                <w:sz w:val="24"/>
                <w:szCs w:val="24"/>
                <w:highlight w:val="none"/>
                <w:lang w:val="en-US" w:eastAsia="zh-CN"/>
              </w:rPr>
              <w:t>大气污染物年排放量核算表</w:t>
            </w:r>
          </w:p>
          <w:tbl>
            <w:tblPr>
              <w:tblStyle w:val="26"/>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3087"/>
              <w:gridCol w:w="2604"/>
            </w:tblGrid>
            <w:tr w14:paraId="2A16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9" w:type="dxa"/>
                  <w:tcBorders>
                    <w:top w:val="single" w:color="auto" w:sz="12" w:space="0"/>
                    <w:left w:val="nil"/>
                    <w:bottom w:val="single" w:color="auto" w:sz="4" w:space="0"/>
                  </w:tcBorders>
                  <w:noWrap w:val="0"/>
                  <w:vAlign w:val="center"/>
                </w:tcPr>
                <w:p w14:paraId="42A65A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序号</w:t>
                  </w:r>
                </w:p>
              </w:tc>
              <w:tc>
                <w:tcPr>
                  <w:tcW w:w="3087" w:type="dxa"/>
                  <w:tcBorders>
                    <w:top w:val="single" w:color="auto" w:sz="12" w:space="0"/>
                    <w:bottom w:val="single" w:color="auto" w:sz="4" w:space="0"/>
                  </w:tcBorders>
                  <w:noWrap w:val="0"/>
                  <w:vAlign w:val="center"/>
                </w:tcPr>
                <w:p w14:paraId="3919FC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污染物</w:t>
                  </w:r>
                </w:p>
              </w:tc>
              <w:tc>
                <w:tcPr>
                  <w:tcW w:w="2604" w:type="dxa"/>
                  <w:tcBorders>
                    <w:top w:val="single" w:color="auto" w:sz="12" w:space="0"/>
                    <w:bottom w:val="single" w:color="auto" w:sz="4" w:space="0"/>
                    <w:right w:val="nil"/>
                  </w:tcBorders>
                  <w:noWrap w:val="0"/>
                  <w:vAlign w:val="center"/>
                </w:tcPr>
                <w:p w14:paraId="4480AD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eastAsia="zh-CN"/>
                    </w:rPr>
                    <w:t>年排放量（</w:t>
                  </w:r>
                  <w:r>
                    <w:rPr>
                      <w:rFonts w:hint="eastAsia" w:ascii="Times New Roman" w:hAnsi="Times New Roman" w:eastAsia="宋体" w:cs="Times New Roman"/>
                      <w:b w:val="0"/>
                      <w:bCs/>
                      <w:color w:val="auto"/>
                      <w:sz w:val="21"/>
                      <w:szCs w:val="21"/>
                      <w:highlight w:val="none"/>
                      <w:vertAlign w:val="baseline"/>
                      <w:lang w:val="en-US" w:eastAsia="zh-CN"/>
                    </w:rPr>
                    <w:t>t/a）</w:t>
                  </w:r>
                </w:p>
              </w:tc>
            </w:tr>
            <w:tr w14:paraId="632B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9" w:type="dxa"/>
                  <w:tcBorders>
                    <w:top w:val="single" w:color="auto" w:sz="4" w:space="0"/>
                    <w:left w:val="nil"/>
                    <w:bottom w:val="single" w:color="auto" w:sz="4" w:space="0"/>
                  </w:tcBorders>
                  <w:noWrap w:val="0"/>
                  <w:vAlign w:val="center"/>
                </w:tcPr>
                <w:p w14:paraId="79FAD2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3087" w:type="dxa"/>
                  <w:tcBorders>
                    <w:top w:val="single" w:color="auto" w:sz="4" w:space="0"/>
                    <w:bottom w:val="single" w:color="auto" w:sz="4" w:space="0"/>
                  </w:tcBorders>
                  <w:noWrap w:val="0"/>
                  <w:vAlign w:val="center"/>
                </w:tcPr>
                <w:p w14:paraId="0C72CC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二氧化硫</w:t>
                  </w:r>
                </w:p>
              </w:tc>
              <w:tc>
                <w:tcPr>
                  <w:tcW w:w="2604" w:type="dxa"/>
                  <w:tcBorders>
                    <w:top w:val="single" w:color="auto" w:sz="4" w:space="0"/>
                    <w:bottom w:val="single" w:color="auto" w:sz="4" w:space="0"/>
                    <w:right w:val="nil"/>
                  </w:tcBorders>
                  <w:noWrap w:val="0"/>
                  <w:vAlign w:val="center"/>
                </w:tcPr>
                <w:p w14:paraId="2EC119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0.011</w:t>
                  </w:r>
                </w:p>
              </w:tc>
            </w:tr>
            <w:tr w14:paraId="580D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9" w:type="dxa"/>
                  <w:tcBorders>
                    <w:top w:val="single" w:color="auto" w:sz="4" w:space="0"/>
                    <w:left w:val="nil"/>
                    <w:bottom w:val="single" w:color="auto" w:sz="4" w:space="0"/>
                  </w:tcBorders>
                  <w:noWrap w:val="0"/>
                  <w:vAlign w:val="center"/>
                </w:tcPr>
                <w:p w14:paraId="532EE7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3087" w:type="dxa"/>
                  <w:tcBorders>
                    <w:top w:val="single" w:color="auto" w:sz="4" w:space="0"/>
                    <w:bottom w:val="single" w:color="auto" w:sz="4" w:space="0"/>
                  </w:tcBorders>
                  <w:noWrap w:val="0"/>
                  <w:vAlign w:val="center"/>
                </w:tcPr>
                <w:p w14:paraId="7F6BC1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氮氧化物</w:t>
                  </w:r>
                </w:p>
              </w:tc>
              <w:tc>
                <w:tcPr>
                  <w:tcW w:w="2604" w:type="dxa"/>
                  <w:tcBorders>
                    <w:top w:val="single" w:color="auto" w:sz="4" w:space="0"/>
                    <w:bottom w:val="single" w:color="auto" w:sz="4" w:space="0"/>
                    <w:right w:val="nil"/>
                  </w:tcBorders>
                  <w:noWrap w:val="0"/>
                  <w:vAlign w:val="center"/>
                </w:tcPr>
                <w:p w14:paraId="047E0B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0.0963</w:t>
                  </w:r>
                </w:p>
              </w:tc>
            </w:tr>
            <w:tr w14:paraId="7BD5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9" w:type="dxa"/>
                  <w:tcBorders>
                    <w:top w:val="single" w:color="auto" w:sz="4" w:space="0"/>
                    <w:left w:val="nil"/>
                    <w:bottom w:val="single" w:color="auto" w:sz="4" w:space="0"/>
                  </w:tcBorders>
                  <w:noWrap w:val="0"/>
                  <w:vAlign w:val="center"/>
                </w:tcPr>
                <w:p w14:paraId="0975F3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w:t>
                  </w:r>
                </w:p>
              </w:tc>
              <w:tc>
                <w:tcPr>
                  <w:tcW w:w="3087" w:type="dxa"/>
                  <w:tcBorders>
                    <w:top w:val="single" w:color="auto" w:sz="4" w:space="0"/>
                    <w:bottom w:val="single" w:color="auto" w:sz="4" w:space="0"/>
                  </w:tcBorders>
                  <w:noWrap w:val="0"/>
                  <w:vAlign w:val="center"/>
                </w:tcPr>
                <w:p w14:paraId="72F15B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颗粒物</w:t>
                  </w:r>
                </w:p>
              </w:tc>
              <w:tc>
                <w:tcPr>
                  <w:tcW w:w="2604" w:type="dxa"/>
                  <w:tcBorders>
                    <w:top w:val="single" w:color="auto" w:sz="4" w:space="0"/>
                    <w:bottom w:val="single" w:color="auto" w:sz="4" w:space="0"/>
                    <w:right w:val="nil"/>
                  </w:tcBorders>
                  <w:noWrap w:val="0"/>
                  <w:vAlign w:val="center"/>
                </w:tcPr>
                <w:p w14:paraId="2ECE83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0.0043</w:t>
                  </w:r>
                </w:p>
              </w:tc>
            </w:tr>
            <w:tr w14:paraId="66FF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9" w:type="dxa"/>
                  <w:tcBorders>
                    <w:top w:val="single" w:color="auto" w:sz="4" w:space="0"/>
                    <w:left w:val="nil"/>
                    <w:bottom w:val="single" w:color="auto" w:sz="12" w:space="0"/>
                  </w:tcBorders>
                  <w:noWrap w:val="0"/>
                  <w:vAlign w:val="center"/>
                </w:tcPr>
                <w:p w14:paraId="6AA98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w:t>
                  </w:r>
                </w:p>
              </w:tc>
              <w:tc>
                <w:tcPr>
                  <w:tcW w:w="3087" w:type="dxa"/>
                  <w:tcBorders>
                    <w:top w:val="single" w:color="auto" w:sz="4" w:space="0"/>
                    <w:bottom w:val="single" w:color="auto" w:sz="12" w:space="0"/>
                  </w:tcBorders>
                  <w:noWrap w:val="0"/>
                  <w:vAlign w:val="center"/>
                </w:tcPr>
                <w:p w14:paraId="7D2786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eastAsia="zh-CN"/>
                    </w:rPr>
                    <w:t>非甲烷总烃</w:t>
                  </w:r>
                </w:p>
              </w:tc>
              <w:tc>
                <w:tcPr>
                  <w:tcW w:w="2604" w:type="dxa"/>
                  <w:tcBorders>
                    <w:top w:val="single" w:color="auto" w:sz="4" w:space="0"/>
                    <w:bottom w:val="single" w:color="auto" w:sz="12" w:space="0"/>
                    <w:right w:val="nil"/>
                  </w:tcBorders>
                  <w:noWrap w:val="0"/>
                  <w:vAlign w:val="center"/>
                </w:tcPr>
                <w:p w14:paraId="7328D1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0.</w:t>
                  </w:r>
                  <w:r>
                    <w:rPr>
                      <w:rFonts w:hint="eastAsia" w:cs="Times New Roman"/>
                      <w:b w:val="0"/>
                      <w:bCs/>
                      <w:color w:val="auto"/>
                      <w:sz w:val="21"/>
                      <w:szCs w:val="21"/>
                      <w:highlight w:val="none"/>
                      <w:vertAlign w:val="baseline"/>
                      <w:lang w:val="en-US" w:eastAsia="zh-CN"/>
                    </w:rPr>
                    <w:t>2905</w:t>
                  </w:r>
                </w:p>
              </w:tc>
            </w:tr>
          </w:tbl>
          <w:p w14:paraId="5567F49A">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废气</w:t>
            </w:r>
            <w:r>
              <w:rPr>
                <w:rFonts w:hint="eastAsia" w:ascii="Times New Roman" w:hAnsi="Times New Roman" w:eastAsia="宋体" w:cs="Times New Roman"/>
                <w:b/>
                <w:bCs/>
                <w:color w:val="auto"/>
                <w:sz w:val="24"/>
                <w:szCs w:val="24"/>
                <w:highlight w:val="none"/>
                <w:lang w:eastAsia="zh-CN"/>
              </w:rPr>
              <w:t>治理措施可行性</w:t>
            </w:r>
          </w:p>
          <w:p w14:paraId="3C4CCF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项目制版、调浆、丝印工序产生的有机废气经“活性炭吸附"处理后通过1根 25m排气</w:t>
            </w:r>
            <w:r>
              <w:rPr>
                <w:rFonts w:hint="eastAsia" w:cs="Times New Roman"/>
                <w:b w:val="0"/>
                <w:bCs/>
                <w:color w:val="auto"/>
                <w:sz w:val="24"/>
                <w:szCs w:val="24"/>
                <w:highlight w:val="none"/>
                <w:lang w:val="en-US" w:eastAsia="zh-CN"/>
              </w:rPr>
              <w:t>筒</w:t>
            </w:r>
            <w:r>
              <w:rPr>
                <w:rFonts w:hint="default" w:ascii="Times New Roman" w:hAnsi="Times New Roman" w:eastAsia="宋体" w:cs="Times New Roman"/>
                <w:b w:val="0"/>
                <w:bCs/>
                <w:color w:val="auto"/>
                <w:sz w:val="24"/>
                <w:szCs w:val="24"/>
                <w:highlight w:val="none"/>
                <w:lang w:eastAsia="zh-CN"/>
              </w:rPr>
              <w:t>排放。本项目行业涉及丝印工序，污染治理设施可行技术参照HJ1066-2019《排污许可证申请与核发技术规范印刷工业》附录A“表A1废气污防治可行术参考表”对照表 A</w:t>
            </w:r>
            <w:r>
              <w:rPr>
                <w:rFonts w:hint="eastAsia"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eastAsia="zh-CN"/>
              </w:rPr>
              <w:t>可知，活性炭吸附治理设为可行技术</w:t>
            </w:r>
            <w:r>
              <w:rPr>
                <w:rFonts w:hint="eastAsia" w:ascii="Times New Roman" w:hAnsi="Times New Roman" w:eastAsia="宋体" w:cs="Times New Roman"/>
                <w:b w:val="0"/>
                <w:bCs/>
                <w:color w:val="auto"/>
                <w:sz w:val="24"/>
                <w:szCs w:val="24"/>
                <w:highlight w:val="none"/>
                <w:lang w:eastAsia="zh-CN"/>
              </w:rPr>
              <w:t>。</w:t>
            </w:r>
          </w:p>
          <w:p w14:paraId="3035B6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eastAsia="zh-CN"/>
              </w:rPr>
              <w:t>表</w:t>
            </w:r>
            <w:r>
              <w:rPr>
                <w:rFonts w:hint="eastAsia" w:ascii="Times New Roman" w:hAnsi="Times New Roman" w:eastAsia="宋体" w:cs="Times New Roman"/>
                <w:b/>
                <w:bCs w:val="0"/>
                <w:color w:val="auto"/>
                <w:sz w:val="24"/>
                <w:szCs w:val="24"/>
                <w:highlight w:val="none"/>
                <w:lang w:val="en-US" w:eastAsia="zh-CN"/>
              </w:rPr>
              <w:t>4-</w:t>
            </w:r>
            <w:r>
              <w:rPr>
                <w:rFonts w:hint="eastAsia" w:cs="Times New Roman"/>
                <w:b/>
                <w:bCs w:val="0"/>
                <w:color w:val="auto"/>
                <w:sz w:val="24"/>
                <w:szCs w:val="24"/>
                <w:highlight w:val="none"/>
                <w:lang w:val="en-US" w:eastAsia="zh-CN"/>
              </w:rPr>
              <w:t>9</w:t>
            </w:r>
            <w:r>
              <w:rPr>
                <w:rFonts w:hint="eastAsia" w:ascii="Times New Roman" w:hAnsi="Times New Roman" w:eastAsia="宋体" w:cs="Times New Roman"/>
                <w:b/>
                <w:bCs w:val="0"/>
                <w:color w:val="auto"/>
                <w:sz w:val="24"/>
                <w:szCs w:val="24"/>
                <w:highlight w:val="none"/>
                <w:lang w:val="en-US" w:eastAsia="zh-CN"/>
              </w:rPr>
              <w:t xml:space="preserve"> 项目废气产污节点、污染物及污染治理设施一览表</w:t>
            </w:r>
          </w:p>
          <w:tbl>
            <w:tblPr>
              <w:tblStyle w:val="26"/>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11"/>
              <w:gridCol w:w="407"/>
              <w:gridCol w:w="928"/>
              <w:gridCol w:w="818"/>
              <w:gridCol w:w="695"/>
              <w:gridCol w:w="1200"/>
              <w:gridCol w:w="669"/>
              <w:gridCol w:w="681"/>
              <w:gridCol w:w="850"/>
            </w:tblGrid>
            <w:tr w14:paraId="53BD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restart"/>
                  <w:tcBorders>
                    <w:top w:val="single" w:color="auto" w:sz="12" w:space="0"/>
                    <w:left w:val="nil"/>
                  </w:tcBorders>
                  <w:noWrap w:val="0"/>
                  <w:vAlign w:val="center"/>
                </w:tcPr>
                <w:p w14:paraId="529323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污染源</w:t>
                  </w:r>
                </w:p>
              </w:tc>
              <w:tc>
                <w:tcPr>
                  <w:tcW w:w="711" w:type="dxa"/>
                  <w:vMerge w:val="restart"/>
                  <w:tcBorders>
                    <w:top w:val="single" w:color="auto" w:sz="12" w:space="0"/>
                  </w:tcBorders>
                  <w:noWrap w:val="0"/>
                  <w:vAlign w:val="center"/>
                </w:tcPr>
                <w:p w14:paraId="0C2629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污染因子</w:t>
                  </w:r>
                </w:p>
              </w:tc>
              <w:tc>
                <w:tcPr>
                  <w:tcW w:w="407" w:type="dxa"/>
                  <w:vMerge w:val="restart"/>
                  <w:tcBorders>
                    <w:top w:val="single" w:color="auto" w:sz="12" w:space="0"/>
                  </w:tcBorders>
                  <w:noWrap w:val="0"/>
                  <w:vAlign w:val="center"/>
                </w:tcPr>
                <w:p w14:paraId="309E6B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排放形式</w:t>
                  </w:r>
                </w:p>
              </w:tc>
              <w:tc>
                <w:tcPr>
                  <w:tcW w:w="4991" w:type="dxa"/>
                  <w:gridSpan w:val="6"/>
                  <w:tcBorders>
                    <w:top w:val="single" w:color="auto" w:sz="12" w:space="0"/>
                  </w:tcBorders>
                  <w:noWrap w:val="0"/>
                  <w:vAlign w:val="center"/>
                </w:tcPr>
                <w:p w14:paraId="730A1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污染治理设施</w:t>
                  </w:r>
                </w:p>
              </w:tc>
              <w:tc>
                <w:tcPr>
                  <w:tcW w:w="850" w:type="dxa"/>
                  <w:vMerge w:val="restart"/>
                  <w:tcBorders>
                    <w:top w:val="single" w:color="auto" w:sz="12" w:space="0"/>
                    <w:right w:val="nil"/>
                  </w:tcBorders>
                  <w:noWrap w:val="0"/>
                  <w:vAlign w:val="center"/>
                </w:tcPr>
                <w:p w14:paraId="17F900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有组织排放口编号</w:t>
                  </w:r>
                </w:p>
              </w:tc>
            </w:tr>
            <w:tr w14:paraId="4558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tcBorders>
                    <w:left w:val="nil"/>
                  </w:tcBorders>
                  <w:noWrap w:val="0"/>
                  <w:vAlign w:val="center"/>
                </w:tcPr>
                <w:p w14:paraId="0E9C16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711" w:type="dxa"/>
                  <w:vMerge w:val="continue"/>
                  <w:noWrap w:val="0"/>
                  <w:vAlign w:val="center"/>
                </w:tcPr>
                <w:p w14:paraId="44FF09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407" w:type="dxa"/>
                  <w:vMerge w:val="continue"/>
                  <w:noWrap w:val="0"/>
                  <w:vAlign w:val="center"/>
                </w:tcPr>
                <w:p w14:paraId="778797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928" w:type="dxa"/>
                  <w:noWrap w:val="0"/>
                  <w:vAlign w:val="center"/>
                </w:tcPr>
                <w:p w14:paraId="60D590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污染防治设施编号</w:t>
                  </w:r>
                </w:p>
              </w:tc>
              <w:tc>
                <w:tcPr>
                  <w:tcW w:w="818" w:type="dxa"/>
                  <w:noWrap w:val="0"/>
                  <w:vAlign w:val="center"/>
                </w:tcPr>
                <w:p w14:paraId="2CA963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污染治理设施工艺</w:t>
                  </w:r>
                </w:p>
              </w:tc>
              <w:tc>
                <w:tcPr>
                  <w:tcW w:w="695" w:type="dxa"/>
                  <w:noWrap w:val="0"/>
                  <w:vAlign w:val="center"/>
                </w:tcPr>
                <w:p w14:paraId="0F23F3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是否为可行技术</w:t>
                  </w:r>
                </w:p>
              </w:tc>
              <w:tc>
                <w:tcPr>
                  <w:tcW w:w="1200" w:type="dxa"/>
                  <w:noWrap w:val="0"/>
                  <w:vAlign w:val="center"/>
                </w:tcPr>
                <w:p w14:paraId="08C9B2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处理能力</w:t>
                  </w:r>
                </w:p>
              </w:tc>
              <w:tc>
                <w:tcPr>
                  <w:tcW w:w="669" w:type="dxa"/>
                  <w:noWrap w:val="0"/>
                  <w:vAlign w:val="center"/>
                </w:tcPr>
                <w:p w14:paraId="7858F6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收集效率</w:t>
                  </w:r>
                </w:p>
              </w:tc>
              <w:tc>
                <w:tcPr>
                  <w:tcW w:w="681" w:type="dxa"/>
                  <w:noWrap w:val="0"/>
                  <w:vAlign w:val="center"/>
                </w:tcPr>
                <w:p w14:paraId="77F5DA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处理效率</w:t>
                  </w:r>
                </w:p>
              </w:tc>
              <w:tc>
                <w:tcPr>
                  <w:tcW w:w="850" w:type="dxa"/>
                  <w:vMerge w:val="continue"/>
                  <w:tcBorders>
                    <w:right w:val="nil"/>
                  </w:tcBorders>
                  <w:noWrap w:val="0"/>
                  <w:vAlign w:val="center"/>
                </w:tcPr>
                <w:p w14:paraId="6FF00A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r>
            <w:tr w14:paraId="66EA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tcBorders>
                    <w:left w:val="nil"/>
                    <w:bottom w:val="single" w:color="auto" w:sz="12" w:space="0"/>
                  </w:tcBorders>
                  <w:noWrap w:val="0"/>
                  <w:vAlign w:val="center"/>
                </w:tcPr>
                <w:p w14:paraId="129AE8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制版、调浆、丝印工序产生的有机废气</w:t>
                  </w:r>
                </w:p>
              </w:tc>
              <w:tc>
                <w:tcPr>
                  <w:tcW w:w="711" w:type="dxa"/>
                  <w:tcBorders>
                    <w:bottom w:val="single" w:color="auto" w:sz="12" w:space="0"/>
                  </w:tcBorders>
                  <w:noWrap w:val="0"/>
                  <w:vAlign w:val="center"/>
                </w:tcPr>
                <w:p w14:paraId="595F1B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非甲烷总烃</w:t>
                  </w:r>
                </w:p>
              </w:tc>
              <w:tc>
                <w:tcPr>
                  <w:tcW w:w="407" w:type="dxa"/>
                  <w:tcBorders>
                    <w:bottom w:val="single" w:color="auto" w:sz="12" w:space="0"/>
                  </w:tcBorders>
                  <w:noWrap w:val="0"/>
                  <w:vAlign w:val="center"/>
                </w:tcPr>
                <w:p w14:paraId="78CA74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有组织</w:t>
                  </w:r>
                </w:p>
              </w:tc>
              <w:tc>
                <w:tcPr>
                  <w:tcW w:w="928" w:type="dxa"/>
                  <w:tcBorders>
                    <w:bottom w:val="single" w:color="auto" w:sz="12" w:space="0"/>
                  </w:tcBorders>
                  <w:noWrap w:val="0"/>
                  <w:vAlign w:val="center"/>
                </w:tcPr>
                <w:p w14:paraId="36FDBB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TA001</w:t>
                  </w:r>
                </w:p>
              </w:tc>
              <w:tc>
                <w:tcPr>
                  <w:tcW w:w="818" w:type="dxa"/>
                  <w:tcBorders>
                    <w:bottom w:val="single" w:color="auto" w:sz="12" w:space="0"/>
                  </w:tcBorders>
                  <w:noWrap w:val="0"/>
                  <w:vAlign w:val="center"/>
                </w:tcPr>
                <w:p w14:paraId="3A9609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活性炭吸附</w:t>
                  </w:r>
                </w:p>
              </w:tc>
              <w:tc>
                <w:tcPr>
                  <w:tcW w:w="695" w:type="dxa"/>
                  <w:tcBorders>
                    <w:bottom w:val="single" w:color="auto" w:sz="12" w:space="0"/>
                  </w:tcBorders>
                  <w:noWrap w:val="0"/>
                  <w:vAlign w:val="center"/>
                </w:tcPr>
                <w:p w14:paraId="2AECB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是</w:t>
                  </w:r>
                </w:p>
              </w:tc>
              <w:tc>
                <w:tcPr>
                  <w:tcW w:w="1200" w:type="dxa"/>
                  <w:tcBorders>
                    <w:bottom w:val="single" w:color="auto" w:sz="12" w:space="0"/>
                  </w:tcBorders>
                  <w:noWrap w:val="0"/>
                  <w:vAlign w:val="center"/>
                </w:tcPr>
                <w:p w14:paraId="0644C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0000m</w:t>
                  </w:r>
                  <w:r>
                    <w:rPr>
                      <w:rFonts w:hint="eastAsia" w:ascii="Times New Roman" w:hAnsi="Times New Roman" w:eastAsia="宋体" w:cs="Times New Roman"/>
                      <w:b w:val="0"/>
                      <w:bCs/>
                      <w:color w:val="auto"/>
                      <w:sz w:val="21"/>
                      <w:szCs w:val="21"/>
                      <w:highlight w:val="none"/>
                      <w:vertAlign w:val="superscript"/>
                      <w:lang w:val="en-US" w:eastAsia="zh-CN"/>
                    </w:rPr>
                    <w:t>3</w:t>
                  </w:r>
                  <w:r>
                    <w:rPr>
                      <w:rFonts w:hint="eastAsia" w:ascii="Times New Roman" w:hAnsi="Times New Roman" w:eastAsia="宋体" w:cs="Times New Roman"/>
                      <w:b w:val="0"/>
                      <w:bCs/>
                      <w:color w:val="auto"/>
                      <w:sz w:val="21"/>
                      <w:szCs w:val="21"/>
                      <w:highlight w:val="none"/>
                      <w:vertAlign w:val="baseline"/>
                      <w:lang w:val="en-US" w:eastAsia="zh-CN"/>
                    </w:rPr>
                    <w:t>/h</w:t>
                  </w:r>
                </w:p>
              </w:tc>
              <w:tc>
                <w:tcPr>
                  <w:tcW w:w="669" w:type="dxa"/>
                  <w:tcBorders>
                    <w:bottom w:val="single" w:color="auto" w:sz="12" w:space="0"/>
                  </w:tcBorders>
                  <w:noWrap w:val="0"/>
                  <w:vAlign w:val="center"/>
                </w:tcPr>
                <w:p w14:paraId="479065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80%</w:t>
                  </w:r>
                </w:p>
              </w:tc>
              <w:tc>
                <w:tcPr>
                  <w:tcW w:w="681" w:type="dxa"/>
                  <w:tcBorders>
                    <w:bottom w:val="single" w:color="auto" w:sz="12" w:space="0"/>
                  </w:tcBorders>
                  <w:noWrap w:val="0"/>
                  <w:vAlign w:val="center"/>
                </w:tcPr>
                <w:p w14:paraId="5138B2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850" w:type="dxa"/>
                  <w:tcBorders>
                    <w:bottom w:val="single" w:color="auto" w:sz="12" w:space="0"/>
                    <w:right w:val="nil"/>
                  </w:tcBorders>
                  <w:noWrap w:val="0"/>
                  <w:vAlign w:val="center"/>
                </w:tcPr>
                <w:p w14:paraId="2950F3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DA00</w:t>
                  </w:r>
                  <w:r>
                    <w:rPr>
                      <w:rFonts w:hint="eastAsia" w:cs="Times New Roman"/>
                      <w:b w:val="0"/>
                      <w:bCs/>
                      <w:color w:val="auto"/>
                      <w:sz w:val="21"/>
                      <w:szCs w:val="21"/>
                      <w:highlight w:val="none"/>
                      <w:vertAlign w:val="baseline"/>
                      <w:lang w:val="en-US" w:eastAsia="zh-CN"/>
                    </w:rPr>
                    <w:t>2</w:t>
                  </w:r>
                </w:p>
              </w:tc>
            </w:tr>
          </w:tbl>
          <w:p w14:paraId="45E18ECA">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eastAsia"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eastAsia="zh-CN"/>
              </w:rPr>
              <w:t>（</w:t>
            </w:r>
            <w:r>
              <w:rPr>
                <w:rFonts w:hint="eastAsia" w:ascii="Times New Roman" w:hAnsi="Times New Roman" w:eastAsia="宋体" w:cs="Times New Roman"/>
                <w:b/>
                <w:bCs w:val="0"/>
                <w:color w:val="auto"/>
                <w:sz w:val="24"/>
                <w:szCs w:val="24"/>
                <w:highlight w:val="none"/>
                <w:lang w:val="en-US" w:eastAsia="zh-CN"/>
              </w:rPr>
              <w:t>1</w:t>
            </w:r>
            <w:r>
              <w:rPr>
                <w:rFonts w:hint="eastAsia" w:ascii="Times New Roman" w:hAnsi="Times New Roman" w:eastAsia="宋体" w:cs="Times New Roman"/>
                <w:b/>
                <w:bCs w:val="0"/>
                <w:color w:val="auto"/>
                <w:sz w:val="24"/>
                <w:szCs w:val="24"/>
                <w:highlight w:val="none"/>
                <w:lang w:eastAsia="zh-CN"/>
              </w:rPr>
              <w:t>）活性炭吸附</w:t>
            </w:r>
          </w:p>
          <w:p w14:paraId="256C19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eastAsia="zh-CN"/>
              </w:rPr>
            </w:pPr>
            <w:r>
              <w:rPr>
                <w:rFonts w:hint="eastAsia" w:ascii="Times New Roman" w:hAnsi="Times New Roman" w:eastAsia="宋体" w:cs="Times New Roman"/>
                <w:b w:val="0"/>
                <w:bCs/>
                <w:color w:val="auto"/>
                <w:sz w:val="24"/>
                <w:szCs w:val="24"/>
                <w:highlight w:val="none"/>
                <w:lang w:eastAsia="zh-CN"/>
              </w:rPr>
              <w:t>①工艺原理</w:t>
            </w:r>
          </w:p>
          <w:p w14:paraId="131F2D6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eastAsia" w:ascii="Times New Roman" w:hAnsi="Times New Roman" w:eastAsia="宋体" w:cs="Times New Roman"/>
                <w:b w:val="0"/>
                <w:bCs/>
                <w:color w:val="auto"/>
                <w:sz w:val="24"/>
                <w:szCs w:val="24"/>
                <w:highlight w:val="none"/>
                <w:lang w:eastAsia="zh-CN"/>
              </w:rPr>
              <w:t>活性炭是一种具有多孔结构和大的内部比表面积的材料。由于其大的比表面积、微孔结构、高的吸附能力</w:t>
            </w:r>
            <w:r>
              <w:rPr>
                <w:rFonts w:hint="eastAsia"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eastAsia="zh-CN"/>
              </w:rPr>
              <w:t>成为独特的多功能吸附剂，且其价</w:t>
            </w:r>
            <w:r>
              <w:rPr>
                <w:rFonts w:hint="eastAsia" w:cs="Times New Roman"/>
                <w:b w:val="0"/>
                <w:bCs/>
                <w:color w:val="auto"/>
                <w:sz w:val="24"/>
                <w:szCs w:val="24"/>
                <w:highlight w:val="none"/>
                <w:lang w:eastAsia="zh-CN"/>
              </w:rPr>
              <w:t>廉</w:t>
            </w:r>
            <w:r>
              <w:rPr>
                <w:rFonts w:hint="eastAsia" w:ascii="Times New Roman" w:hAnsi="Times New Roman" w:eastAsia="宋体" w:cs="Times New Roman"/>
                <w:b w:val="0"/>
                <w:bCs/>
                <w:color w:val="auto"/>
                <w:sz w:val="24"/>
                <w:szCs w:val="24"/>
                <w:highlight w:val="none"/>
                <w:lang w:eastAsia="zh-CN"/>
              </w:rPr>
              <w:t>易得，可再生活化，同时它可有效去除废水、废气中的大部分有机物和某些无机物，所以它被世界各国广泛地应用于污水及废气的处理、空气净化、回收溶剂等环境保护和资源回收等领域。活性碳分为粉末活性碳、粒状活性碳及活性碳纤维，但是由于粉末活性碳产生二次污染且不能再生而被限制利用。粒状活性碳粒径为500-5000</w:t>
            </w:r>
            <w:r>
              <w:rPr>
                <w:rFonts w:hint="default" w:ascii="Times New Roman" w:hAnsi="Times New Roman" w:eastAsia="宋体" w:cs="Times New Roman"/>
                <w:b w:val="0"/>
                <w:bCs/>
                <w:color w:val="auto"/>
                <w:sz w:val="24"/>
                <w:szCs w:val="24"/>
                <w:highlight w:val="none"/>
                <w:lang w:eastAsia="zh-CN"/>
              </w:rPr>
              <w:t>μ</w:t>
            </w:r>
            <w:r>
              <w:rPr>
                <w:rFonts w:hint="eastAsia" w:ascii="Times New Roman" w:hAnsi="Times New Roman" w:eastAsia="宋体" w:cs="Times New Roman"/>
                <w:b w:val="0"/>
                <w:bCs/>
                <w:color w:val="auto"/>
                <w:sz w:val="24"/>
                <w:szCs w:val="24"/>
                <w:highlight w:val="none"/>
                <w:lang w:eastAsia="zh-CN"/>
              </w:rPr>
              <w:t>m，对有机废气的吸附率可达 75%以上。活性碳纤维是维粉状与粒状活性碳之后的新一代高效活性吸附材料和环保功能材料。</w:t>
            </w:r>
          </w:p>
          <w:p w14:paraId="60CC08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eastAsia="zh-CN"/>
              </w:rPr>
            </w:pPr>
            <w:r>
              <w:rPr>
                <w:rFonts w:hint="eastAsia" w:ascii="Times New Roman" w:hAnsi="Times New Roman" w:eastAsia="宋体" w:cs="Times New Roman"/>
                <w:b w:val="0"/>
                <w:bCs/>
                <w:color w:val="auto"/>
                <w:sz w:val="24"/>
                <w:szCs w:val="24"/>
                <w:highlight w:val="none"/>
                <w:lang w:eastAsia="zh-CN"/>
              </w:rPr>
              <w:t>②处理工艺</w:t>
            </w:r>
          </w:p>
          <w:p w14:paraId="534B16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eastAsia="zh-CN"/>
              </w:rPr>
            </w:pPr>
            <w:r>
              <w:rPr>
                <w:rFonts w:hint="eastAsia" w:ascii="Times New Roman" w:hAnsi="Times New Roman" w:eastAsia="宋体" w:cs="Times New Roman"/>
                <w:b w:val="0"/>
                <w:bCs/>
                <w:color w:val="auto"/>
                <w:sz w:val="24"/>
                <w:szCs w:val="24"/>
                <w:highlight w:val="none"/>
                <w:lang w:eastAsia="zh-CN"/>
              </w:rPr>
              <w:t>“活性炭吸附”处理装置处理工艺包括如下部分：</w:t>
            </w:r>
          </w:p>
          <w:p w14:paraId="4CE249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1）预处理部分：为保证活性炭层具有适宜的孔隙率，减少气体通过的阻力，应预先除去进气中的颗粒物及液滴。</w:t>
            </w:r>
          </w:p>
          <w:p w14:paraId="2AE831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2）吸附部分：采用固定床吸附器，为保证连续处理废气，可以采用多个吸附器并联操作。</w:t>
            </w:r>
          </w:p>
          <w:p w14:paraId="41DA95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③活性炭吸附装置的优点</w:t>
            </w:r>
          </w:p>
          <w:p w14:paraId="525340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活性炭吸附装置具有以下特点：</w:t>
            </w:r>
          </w:p>
          <w:p w14:paraId="1113C6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1）与被吸附物质的接触面积大，增加了吸附几率；</w:t>
            </w:r>
          </w:p>
          <w:p w14:paraId="6B791B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2）比表面积大，吸附容量大，吸附、脱附速度快，根据有关资料报道，活性炭比表面积可达到3000m</w:t>
            </w:r>
            <w:r>
              <w:rPr>
                <w:rFonts w:hint="eastAsia" w:ascii="Times New Roman" w:hAnsi="Times New Roman" w:eastAsia="宋体" w:cs="Times New Roman"/>
                <w:b w:val="0"/>
                <w:bCs/>
                <w:color w:val="auto"/>
                <w:sz w:val="24"/>
                <w:szCs w:val="24"/>
                <w:highlight w:val="none"/>
                <w:vertAlign w:val="superscript"/>
                <w:lang w:val="en-US" w:eastAsia="zh-CN"/>
              </w:rPr>
              <w:t>2</w:t>
            </w:r>
            <w:r>
              <w:rPr>
                <w:rFonts w:hint="eastAsia" w:ascii="Times New Roman" w:hAnsi="Times New Roman" w:eastAsia="宋体" w:cs="Times New Roman"/>
                <w:b w:val="0"/>
                <w:bCs/>
                <w:color w:val="auto"/>
                <w:sz w:val="24"/>
                <w:szCs w:val="24"/>
                <w:highlight w:val="none"/>
                <w:lang w:val="en-US" w:eastAsia="zh-CN"/>
              </w:rPr>
              <w:t>/g，因此活性炭在吸附性能上具有绝对的优势，可容纳的有害气体的数量约13000mg/g；</w:t>
            </w:r>
          </w:p>
          <w:p w14:paraId="4604D7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3）孔径分布范围窄，吸附选择性较好；</w:t>
            </w:r>
          </w:p>
          <w:p w14:paraId="63FFDD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4）对有机废气的吸附效率可达75%以上。</w:t>
            </w:r>
          </w:p>
          <w:p w14:paraId="3B9491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根据生态环境部</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关于活性炭碘值问题的回复</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采用蜂窝状活性炭吸附的，建议选择与碘值 800毫克/克颗粒状、柱状等活性炭吸附效率相当的蜂窝状活性炭，并按照设计要求足量添加、及时更换。建设单位使用的蜂窝状活性炭为碘值大于800毫克/克的蜂窝状活性炭，具有较好的吸附效果。根据计算结果可知，项目活性炭吸附装置更换周期为3次/年。根据表4-</w:t>
            </w:r>
            <w:r>
              <w:rPr>
                <w:rFonts w:hint="eastAsia" w:ascii="Times New Roman" w:hAnsi="Times New Roman" w:eastAsia="宋体" w:cs="Times New Roman"/>
                <w:b w:val="0"/>
                <w:bCs/>
                <w:color w:val="auto"/>
                <w:sz w:val="24"/>
                <w:szCs w:val="24"/>
                <w:highlight w:val="none"/>
                <w:lang w:val="en-US" w:eastAsia="zh-CN"/>
              </w:rPr>
              <w:t>6</w:t>
            </w:r>
            <w:r>
              <w:rPr>
                <w:rFonts w:hint="default" w:ascii="Times New Roman" w:hAnsi="Times New Roman" w:eastAsia="宋体" w:cs="Times New Roman"/>
                <w:b w:val="0"/>
                <w:bCs/>
                <w:color w:val="auto"/>
                <w:sz w:val="24"/>
                <w:szCs w:val="24"/>
                <w:highlight w:val="none"/>
                <w:lang w:eastAsia="zh-CN"/>
              </w:rPr>
              <w:t>可知，有机废气经过“活性炭吸附”处理后可达标排放，且活性炭吸附技术属于《重点行业挥发性有机物综合治理方案》</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环大气</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2019</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53号</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VOC</w:t>
            </w:r>
            <w:r>
              <w:rPr>
                <w:rFonts w:hint="eastAsia" w:ascii="Times New Roman" w:hAnsi="Times New Roman" w:eastAsia="宋体" w:cs="Times New Roman"/>
                <w:b w:val="0"/>
                <w:bCs/>
                <w:color w:val="auto"/>
                <w:sz w:val="24"/>
                <w:szCs w:val="24"/>
                <w:highlight w:val="none"/>
                <w:lang w:val="en-US" w:eastAsia="zh-CN"/>
              </w:rPr>
              <w:t>s</w:t>
            </w:r>
            <w:r>
              <w:rPr>
                <w:rFonts w:hint="default" w:ascii="Times New Roman" w:hAnsi="Times New Roman" w:eastAsia="宋体" w:cs="Times New Roman"/>
                <w:b w:val="0"/>
                <w:bCs/>
                <w:color w:val="auto"/>
                <w:sz w:val="24"/>
                <w:szCs w:val="24"/>
                <w:highlight w:val="none"/>
                <w:lang w:eastAsia="zh-CN"/>
              </w:rPr>
              <w:t xml:space="preserve"> 推进治理设施，因此认为该措施是可行的。</w:t>
            </w:r>
          </w:p>
          <w:p w14:paraId="3498E37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eastAsia="zh-CN"/>
              </w:rPr>
              <w:t>（</w:t>
            </w:r>
            <w:r>
              <w:rPr>
                <w:rFonts w:hint="eastAsia" w:ascii="Times New Roman" w:hAnsi="Times New Roman" w:eastAsia="宋体" w:cs="Times New Roman"/>
                <w:b/>
                <w:bCs w:val="0"/>
                <w:color w:val="auto"/>
                <w:sz w:val="24"/>
                <w:szCs w:val="24"/>
                <w:highlight w:val="none"/>
                <w:lang w:val="en-US" w:eastAsia="zh-CN"/>
              </w:rPr>
              <w:t>2）废气收集说明</w:t>
            </w:r>
          </w:p>
          <w:p w14:paraId="7C5EF7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为了确保项目的废气收集效率，本项目按照国家要求的对生产车间进行负压设置，废气收集系统应在负压下运行，若处于正压状态，应对输送管道组件的密封点进行泄漏检测，泄漏检测值不应超过500</w:t>
            </w:r>
            <w:r>
              <w:rPr>
                <w:rFonts w:hint="default" w:ascii="Times New Roman" w:hAnsi="Times New Roman" w:eastAsia="宋体" w:cs="Times New Roman"/>
                <w:b w:val="0"/>
                <w:bCs/>
                <w:color w:val="auto"/>
                <w:sz w:val="24"/>
                <w:szCs w:val="24"/>
                <w:highlight w:val="none"/>
                <w:lang w:val="en-US" w:eastAsia="zh-CN"/>
              </w:rPr>
              <w:t>μ</w:t>
            </w:r>
            <w:r>
              <w:rPr>
                <w:rFonts w:hint="eastAsia" w:ascii="Times New Roman" w:hAnsi="Times New Roman" w:eastAsia="宋体" w:cs="Times New Roman"/>
                <w:b w:val="0"/>
                <w:bCs/>
                <w:color w:val="auto"/>
                <w:sz w:val="24"/>
                <w:szCs w:val="24"/>
                <w:highlight w:val="none"/>
                <w:lang w:val="en-US" w:eastAsia="zh-CN"/>
              </w:rPr>
              <w:t>mol/mol，亦不应有感官可察觉泄漏。</w:t>
            </w:r>
          </w:p>
          <w:p w14:paraId="28C518E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废气</w:t>
            </w:r>
            <w:r>
              <w:rPr>
                <w:rFonts w:hint="default" w:ascii="Times New Roman" w:hAnsi="Times New Roman" w:eastAsia="宋体" w:cs="Times New Roman"/>
                <w:b/>
                <w:bCs/>
                <w:color w:val="auto"/>
                <w:sz w:val="24"/>
                <w:szCs w:val="24"/>
                <w:highlight w:val="none"/>
                <w:lang w:eastAsia="zh-CN"/>
              </w:rPr>
              <w:t>监测要求</w:t>
            </w:r>
          </w:p>
          <w:p w14:paraId="6CD95B2B">
            <w:pPr>
              <w:widowControl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本项目为布料的丝印加工项目，属于《固定污染源排污许可分类管理名录》（</w:t>
            </w:r>
            <w:r>
              <w:rPr>
                <w:rFonts w:hint="eastAsia" w:ascii="Times New Roman" w:hAnsi="Times New Roman" w:eastAsia="宋体" w:cs="Times New Roman"/>
                <w:color w:val="auto"/>
                <w:sz w:val="24"/>
                <w:szCs w:val="24"/>
                <w:highlight w:val="none"/>
                <w:lang w:val="en-US" w:eastAsia="zh-CN"/>
              </w:rPr>
              <w:t>2019年版</w:t>
            </w:r>
            <w:r>
              <w:rPr>
                <w:rFonts w:hint="eastAsia" w:ascii="Times New Roman" w:hAnsi="Times New Roman" w:eastAsia="宋体" w:cs="Times New Roman"/>
                <w:color w:val="auto"/>
                <w:sz w:val="24"/>
                <w:szCs w:val="24"/>
                <w:highlight w:val="none"/>
                <w:lang w:eastAsia="zh-CN"/>
              </w:rPr>
              <w:t>）中“十八、印刷和记录媒介复制业</w:t>
            </w:r>
            <w:r>
              <w:rPr>
                <w:rFonts w:hint="eastAsia" w:ascii="Times New Roman" w:hAnsi="Times New Roman" w:eastAsia="宋体" w:cs="Times New Roman"/>
                <w:color w:val="auto"/>
                <w:sz w:val="24"/>
                <w:szCs w:val="24"/>
                <w:highlight w:val="none"/>
                <w:lang w:val="en-US" w:eastAsia="zh-CN"/>
              </w:rPr>
              <w:t>23：印刷231：其他”，管理类别为登记管理，可参考HJ819-2017《排污单位自行监测技术指南 总则》</w:t>
            </w:r>
            <w:r>
              <w:rPr>
                <w:rFonts w:hint="eastAsia" w:cs="Times New Roman"/>
                <w:color w:val="auto"/>
                <w:sz w:val="24"/>
                <w:szCs w:val="24"/>
                <w:highlight w:val="none"/>
                <w:lang w:val="en-US" w:eastAsia="zh-CN"/>
              </w:rPr>
              <w:t>和</w:t>
            </w:r>
            <w:r>
              <w:rPr>
                <w:color w:val="auto"/>
                <w:spacing w:val="2"/>
                <w:sz w:val="24"/>
                <w:highlight w:val="none"/>
              </w:rPr>
              <w:t>HJ820-2017《排污单位自行监测技术指南 火力发电及锅炉》</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结合项目自身特点，建议本项目投入运行后，废气自行监测要求见表4-</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w:t>
            </w:r>
          </w:p>
          <w:p w14:paraId="6AD0ED2E">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outlineLvl w:val="9"/>
              <w:rPr>
                <w:rFonts w:hint="default" w:ascii="Times New Roman" w:hAnsi="Times New Roman" w:eastAsia="宋体" w:cs="Times New Roman"/>
                <w:b/>
                <w:color w:val="auto"/>
                <w:sz w:val="24"/>
                <w:szCs w:val="24"/>
                <w:highlight w:val="none"/>
              </w:rPr>
            </w:pPr>
          </w:p>
          <w:p w14:paraId="5785233C">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10</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eastAsia="zh-CN"/>
              </w:rPr>
              <w:t>废气常规</w:t>
            </w:r>
            <w:r>
              <w:rPr>
                <w:rFonts w:hint="default" w:ascii="Times New Roman" w:hAnsi="Times New Roman" w:eastAsia="宋体" w:cs="Times New Roman"/>
                <w:b/>
                <w:color w:val="auto"/>
                <w:sz w:val="24"/>
                <w:szCs w:val="24"/>
                <w:highlight w:val="none"/>
              </w:rPr>
              <w:t>监测</w:t>
            </w:r>
            <w:r>
              <w:rPr>
                <w:rFonts w:hint="default" w:ascii="Times New Roman" w:hAnsi="Times New Roman" w:eastAsia="宋体" w:cs="Times New Roman"/>
                <w:b/>
                <w:color w:val="auto"/>
                <w:sz w:val="24"/>
                <w:szCs w:val="24"/>
                <w:highlight w:val="none"/>
                <w:lang w:eastAsia="zh-CN"/>
              </w:rPr>
              <w:t>要求内容</w:t>
            </w:r>
            <w:r>
              <w:rPr>
                <w:rFonts w:hint="default" w:ascii="Times New Roman" w:hAnsi="Times New Roman" w:eastAsia="宋体" w:cs="Times New Roman"/>
                <w:b/>
                <w:color w:val="auto"/>
                <w:sz w:val="24"/>
                <w:szCs w:val="24"/>
                <w:highlight w:val="none"/>
              </w:rPr>
              <w:t>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108" w:type="dxa"/>
                <w:bottom w:w="0" w:type="dxa"/>
                <w:right w:w="108" w:type="dxa"/>
              </w:tblCellMar>
            </w:tblPr>
            <w:tblGrid>
              <w:gridCol w:w="1196"/>
              <w:gridCol w:w="2186"/>
              <w:gridCol w:w="1044"/>
              <w:gridCol w:w="2008"/>
              <w:gridCol w:w="1388"/>
            </w:tblGrid>
            <w:tr w14:paraId="6118C321">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64" w:type="pct"/>
                  <w:noWrap w:val="0"/>
                  <w:vAlign w:val="center"/>
                </w:tcPr>
                <w:p w14:paraId="69AE7B81">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1397" w:type="pct"/>
                  <w:noWrap w:val="0"/>
                  <w:vAlign w:val="center"/>
                </w:tcPr>
                <w:p w14:paraId="5EA63879">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监测内容</w:t>
                  </w:r>
                </w:p>
              </w:tc>
              <w:tc>
                <w:tcPr>
                  <w:tcW w:w="667" w:type="pct"/>
                  <w:noWrap w:val="0"/>
                  <w:vAlign w:val="center"/>
                </w:tcPr>
                <w:p w14:paraId="695B51F4">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1283" w:type="pct"/>
                  <w:noWrap w:val="0"/>
                  <w:vAlign w:val="center"/>
                </w:tcPr>
                <w:p w14:paraId="59A89544">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监测点</w:t>
                  </w:r>
                  <w:r>
                    <w:rPr>
                      <w:rFonts w:hint="default" w:ascii="Times New Roman" w:hAnsi="Times New Roman" w:eastAsia="宋体" w:cs="Times New Roman"/>
                      <w:color w:val="auto"/>
                      <w:sz w:val="21"/>
                      <w:szCs w:val="21"/>
                      <w:highlight w:val="none"/>
                      <w:lang w:eastAsia="zh-CN"/>
                    </w:rPr>
                    <w:t>位</w:t>
                  </w:r>
                </w:p>
              </w:tc>
              <w:tc>
                <w:tcPr>
                  <w:tcW w:w="887" w:type="pct"/>
                  <w:noWrap w:val="0"/>
                  <w:vAlign w:val="center"/>
                </w:tcPr>
                <w:p w14:paraId="41C929C3">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监测单位</w:t>
                  </w:r>
                </w:p>
              </w:tc>
            </w:tr>
            <w:tr w14:paraId="57933FFA">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64" w:type="pct"/>
                  <w:vMerge w:val="restart"/>
                  <w:noWrap w:val="0"/>
                  <w:vAlign w:val="center"/>
                </w:tcPr>
                <w:p w14:paraId="42E641A9">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液化石油气废气</w:t>
                  </w:r>
                </w:p>
              </w:tc>
              <w:tc>
                <w:tcPr>
                  <w:tcW w:w="1397" w:type="pct"/>
                  <w:noWrap w:val="0"/>
                  <w:vAlign w:val="center"/>
                </w:tcPr>
                <w:p w14:paraId="62ECF9A0">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二氧化硫</w:t>
                  </w:r>
                </w:p>
              </w:tc>
              <w:tc>
                <w:tcPr>
                  <w:tcW w:w="667" w:type="pct"/>
                  <w:noWrap w:val="0"/>
                  <w:vAlign w:val="center"/>
                </w:tcPr>
                <w:p w14:paraId="1BD562ED">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次</w:t>
                  </w:r>
                  <w:r>
                    <w:rPr>
                      <w:rFonts w:hint="default" w:ascii="Times New Roman" w:hAnsi="Times New Roman" w:eastAsia="宋体" w:cs="Times New Roman"/>
                      <w:color w:val="auto"/>
                      <w:sz w:val="21"/>
                      <w:szCs w:val="21"/>
                      <w:highlight w:val="none"/>
                      <w:lang w:val="en-US" w:eastAsia="zh-CN"/>
                    </w:rPr>
                    <w:t>/年</w:t>
                  </w:r>
                </w:p>
              </w:tc>
              <w:tc>
                <w:tcPr>
                  <w:tcW w:w="1283" w:type="pct"/>
                  <w:vMerge w:val="restart"/>
                  <w:noWrap w:val="0"/>
                  <w:vAlign w:val="center"/>
                </w:tcPr>
                <w:p w14:paraId="005BE5D6">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排气筒（</w:t>
                  </w:r>
                  <w:r>
                    <w:rPr>
                      <w:rFonts w:hint="default" w:ascii="Times New Roman" w:hAnsi="Times New Roman" w:eastAsia="宋体" w:cs="Times New Roman"/>
                      <w:color w:val="auto"/>
                      <w:sz w:val="21"/>
                      <w:szCs w:val="21"/>
                      <w:highlight w:val="none"/>
                      <w:lang w:val="en-US" w:eastAsia="zh-CN"/>
                    </w:rPr>
                    <w:t>DA001</w:t>
                  </w:r>
                  <w:r>
                    <w:rPr>
                      <w:rFonts w:hint="eastAsia" w:ascii="Times New Roman" w:hAnsi="Times New Roman" w:eastAsia="宋体" w:cs="Times New Roman"/>
                      <w:color w:val="auto"/>
                      <w:sz w:val="21"/>
                      <w:szCs w:val="21"/>
                      <w:highlight w:val="none"/>
                      <w:lang w:val="en-US" w:eastAsia="zh-CN"/>
                    </w:rPr>
                    <w:t>）</w:t>
                  </w:r>
                </w:p>
              </w:tc>
              <w:tc>
                <w:tcPr>
                  <w:tcW w:w="887" w:type="pct"/>
                  <w:vMerge w:val="restart"/>
                  <w:noWrap w:val="0"/>
                  <w:vAlign w:val="center"/>
                </w:tcPr>
                <w:p w14:paraId="7FF7F4E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w:t>
                  </w:r>
                  <w:r>
                    <w:rPr>
                      <w:rFonts w:hint="eastAsia" w:ascii="Times New Roman" w:hAnsi="Times New Roman" w:eastAsia="宋体"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rPr>
                    <w:t>资质单位</w:t>
                  </w:r>
                </w:p>
              </w:tc>
            </w:tr>
            <w:tr w14:paraId="3F2ACC9A">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64" w:type="pct"/>
                  <w:vMerge w:val="continue"/>
                  <w:noWrap w:val="0"/>
                  <w:vAlign w:val="center"/>
                </w:tcPr>
                <w:p w14:paraId="22F5C212">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7" w:type="pct"/>
                  <w:noWrap w:val="0"/>
                  <w:vAlign w:val="center"/>
                </w:tcPr>
                <w:p w14:paraId="5F4B7C15">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氮氧化物</w:t>
                  </w:r>
                </w:p>
              </w:tc>
              <w:tc>
                <w:tcPr>
                  <w:tcW w:w="667" w:type="pct"/>
                  <w:noWrap w:val="0"/>
                  <w:vAlign w:val="center"/>
                </w:tcPr>
                <w:p w14:paraId="4BA963D9">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次</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月</w:t>
                  </w:r>
                </w:p>
              </w:tc>
              <w:tc>
                <w:tcPr>
                  <w:tcW w:w="1283" w:type="pct"/>
                  <w:vMerge w:val="continue"/>
                  <w:noWrap w:val="0"/>
                  <w:vAlign w:val="center"/>
                </w:tcPr>
                <w:p w14:paraId="75EBE00F">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887" w:type="pct"/>
                  <w:vMerge w:val="continue"/>
                  <w:noWrap w:val="0"/>
                  <w:vAlign w:val="center"/>
                </w:tcPr>
                <w:p w14:paraId="3146A41F">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2238628D">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64" w:type="pct"/>
                  <w:vMerge w:val="continue"/>
                  <w:noWrap w:val="0"/>
                  <w:vAlign w:val="center"/>
                </w:tcPr>
                <w:p w14:paraId="41E068C0">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7" w:type="pct"/>
                  <w:noWrap w:val="0"/>
                  <w:vAlign w:val="center"/>
                </w:tcPr>
                <w:p w14:paraId="00572CF5">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颗粒物</w:t>
                  </w:r>
                </w:p>
              </w:tc>
              <w:tc>
                <w:tcPr>
                  <w:tcW w:w="667" w:type="pct"/>
                  <w:noWrap w:val="0"/>
                  <w:vAlign w:val="center"/>
                </w:tcPr>
                <w:p w14:paraId="78361387">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次</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年</w:t>
                  </w:r>
                </w:p>
              </w:tc>
              <w:tc>
                <w:tcPr>
                  <w:tcW w:w="1283" w:type="pct"/>
                  <w:vMerge w:val="continue"/>
                  <w:noWrap w:val="0"/>
                  <w:vAlign w:val="center"/>
                </w:tcPr>
                <w:p w14:paraId="1B0226E0">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887" w:type="pct"/>
                  <w:vMerge w:val="continue"/>
                  <w:noWrap w:val="0"/>
                  <w:vAlign w:val="center"/>
                </w:tcPr>
                <w:p w14:paraId="526E97B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63CBEAC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64" w:type="pct"/>
                  <w:vMerge w:val="continue"/>
                  <w:noWrap w:val="0"/>
                  <w:vAlign w:val="center"/>
                </w:tcPr>
                <w:p w14:paraId="2AD581E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7" w:type="pct"/>
                  <w:noWrap w:val="0"/>
                  <w:vAlign w:val="center"/>
                </w:tcPr>
                <w:p w14:paraId="3303D449">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二氧化硫</w:t>
                  </w:r>
                </w:p>
              </w:tc>
              <w:tc>
                <w:tcPr>
                  <w:tcW w:w="667" w:type="pct"/>
                  <w:noWrap w:val="0"/>
                  <w:vAlign w:val="center"/>
                </w:tcPr>
                <w:p w14:paraId="76293BFE">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次</w:t>
                  </w:r>
                  <w:r>
                    <w:rPr>
                      <w:rFonts w:hint="default" w:ascii="Times New Roman" w:hAnsi="Times New Roman" w:eastAsia="宋体" w:cs="Times New Roman"/>
                      <w:color w:val="auto"/>
                      <w:sz w:val="21"/>
                      <w:szCs w:val="21"/>
                      <w:highlight w:val="none"/>
                      <w:lang w:val="en-US" w:eastAsia="zh-CN"/>
                    </w:rPr>
                    <w:t>/年</w:t>
                  </w:r>
                </w:p>
              </w:tc>
              <w:tc>
                <w:tcPr>
                  <w:tcW w:w="1283" w:type="pct"/>
                  <w:vMerge w:val="restart"/>
                  <w:noWrap w:val="0"/>
                  <w:vAlign w:val="center"/>
                </w:tcPr>
                <w:p w14:paraId="100F7DF3">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厂界</w:t>
                  </w:r>
                </w:p>
              </w:tc>
              <w:tc>
                <w:tcPr>
                  <w:tcW w:w="887" w:type="pct"/>
                  <w:vMerge w:val="continue"/>
                  <w:noWrap w:val="0"/>
                  <w:vAlign w:val="center"/>
                </w:tcPr>
                <w:p w14:paraId="71CCB98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0210FF4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64" w:type="pct"/>
                  <w:vMerge w:val="continue"/>
                  <w:noWrap w:val="0"/>
                  <w:vAlign w:val="center"/>
                </w:tcPr>
                <w:p w14:paraId="3C4CEB14">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7" w:type="pct"/>
                  <w:noWrap w:val="0"/>
                  <w:vAlign w:val="center"/>
                </w:tcPr>
                <w:p w14:paraId="6E028F7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氮氧化物</w:t>
                  </w:r>
                </w:p>
              </w:tc>
              <w:tc>
                <w:tcPr>
                  <w:tcW w:w="667" w:type="pct"/>
                  <w:noWrap w:val="0"/>
                  <w:vAlign w:val="center"/>
                </w:tcPr>
                <w:p w14:paraId="145C9E91">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次</w:t>
                  </w:r>
                  <w:r>
                    <w:rPr>
                      <w:rFonts w:hint="default" w:ascii="Times New Roman" w:hAnsi="Times New Roman" w:eastAsia="宋体" w:cs="Times New Roman"/>
                      <w:color w:val="auto"/>
                      <w:sz w:val="21"/>
                      <w:szCs w:val="21"/>
                      <w:highlight w:val="none"/>
                      <w:lang w:val="en-US" w:eastAsia="zh-CN"/>
                    </w:rPr>
                    <w:t>/年</w:t>
                  </w:r>
                </w:p>
              </w:tc>
              <w:tc>
                <w:tcPr>
                  <w:tcW w:w="1283" w:type="pct"/>
                  <w:vMerge w:val="continue"/>
                  <w:noWrap w:val="0"/>
                  <w:vAlign w:val="center"/>
                </w:tcPr>
                <w:p w14:paraId="3FD709E2">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887" w:type="pct"/>
                  <w:vMerge w:val="continue"/>
                  <w:noWrap w:val="0"/>
                  <w:vAlign w:val="center"/>
                </w:tcPr>
                <w:p w14:paraId="5D1606AA">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33BA8352">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64" w:type="pct"/>
                  <w:vMerge w:val="continue"/>
                  <w:noWrap w:val="0"/>
                  <w:vAlign w:val="center"/>
                </w:tcPr>
                <w:p w14:paraId="4DDCC61E">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7" w:type="pct"/>
                  <w:noWrap w:val="0"/>
                  <w:vAlign w:val="center"/>
                </w:tcPr>
                <w:p w14:paraId="475C03E2">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颗粒物</w:t>
                  </w:r>
                </w:p>
              </w:tc>
              <w:tc>
                <w:tcPr>
                  <w:tcW w:w="667" w:type="pct"/>
                  <w:noWrap w:val="0"/>
                  <w:vAlign w:val="center"/>
                </w:tcPr>
                <w:p w14:paraId="4D4D89A2">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次</w:t>
                  </w:r>
                  <w:r>
                    <w:rPr>
                      <w:rFonts w:hint="default" w:ascii="Times New Roman" w:hAnsi="Times New Roman" w:eastAsia="宋体" w:cs="Times New Roman"/>
                      <w:color w:val="auto"/>
                      <w:sz w:val="21"/>
                      <w:szCs w:val="21"/>
                      <w:highlight w:val="none"/>
                      <w:lang w:val="en-US" w:eastAsia="zh-CN"/>
                    </w:rPr>
                    <w:t>/年</w:t>
                  </w:r>
                </w:p>
              </w:tc>
              <w:tc>
                <w:tcPr>
                  <w:tcW w:w="1283" w:type="pct"/>
                  <w:vMerge w:val="continue"/>
                  <w:noWrap w:val="0"/>
                  <w:vAlign w:val="center"/>
                </w:tcPr>
                <w:p w14:paraId="02760543">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887" w:type="pct"/>
                  <w:vMerge w:val="continue"/>
                  <w:noWrap w:val="0"/>
                  <w:vAlign w:val="center"/>
                </w:tcPr>
                <w:p w14:paraId="0E84B110">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2E0AB5F2">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64" w:type="pct"/>
                  <w:vMerge w:val="restart"/>
                  <w:noWrap w:val="0"/>
                  <w:vAlign w:val="center"/>
                </w:tcPr>
                <w:p w14:paraId="472312D8">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生产废气</w:t>
                  </w:r>
                </w:p>
              </w:tc>
              <w:tc>
                <w:tcPr>
                  <w:tcW w:w="1397" w:type="pct"/>
                  <w:vMerge w:val="restart"/>
                  <w:noWrap w:val="0"/>
                  <w:vAlign w:val="center"/>
                </w:tcPr>
                <w:p w14:paraId="5A194D8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非甲烷总烃</w:t>
                  </w:r>
                </w:p>
              </w:tc>
              <w:tc>
                <w:tcPr>
                  <w:tcW w:w="667" w:type="pct"/>
                  <w:noWrap w:val="0"/>
                  <w:vAlign w:val="center"/>
                </w:tcPr>
                <w:p w14:paraId="098A9725">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次</w:t>
                  </w:r>
                  <w:r>
                    <w:rPr>
                      <w:rFonts w:hint="default" w:ascii="Times New Roman" w:hAnsi="Times New Roman" w:eastAsia="宋体" w:cs="Times New Roman"/>
                      <w:color w:val="auto"/>
                      <w:sz w:val="21"/>
                      <w:szCs w:val="21"/>
                      <w:highlight w:val="none"/>
                      <w:lang w:val="en-US" w:eastAsia="zh-CN"/>
                    </w:rPr>
                    <w:t>/年</w:t>
                  </w:r>
                </w:p>
              </w:tc>
              <w:tc>
                <w:tcPr>
                  <w:tcW w:w="1283" w:type="pct"/>
                  <w:noWrap w:val="0"/>
                  <w:vAlign w:val="center"/>
                </w:tcPr>
                <w:p w14:paraId="40119BC7">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排气筒（</w:t>
                  </w:r>
                  <w:r>
                    <w:rPr>
                      <w:rFonts w:hint="default" w:ascii="Times New Roman" w:hAnsi="Times New Roman" w:eastAsia="宋体" w:cs="Times New Roman"/>
                      <w:color w:val="auto"/>
                      <w:sz w:val="21"/>
                      <w:szCs w:val="21"/>
                      <w:highlight w:val="none"/>
                      <w:lang w:val="en-US" w:eastAsia="zh-CN"/>
                    </w:rPr>
                    <w:t>DA00</w:t>
                  </w:r>
                  <w:r>
                    <w:rPr>
                      <w:rFonts w:hint="eastAsia"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w:t>
                  </w:r>
                </w:p>
              </w:tc>
              <w:tc>
                <w:tcPr>
                  <w:tcW w:w="887" w:type="pct"/>
                  <w:vMerge w:val="restart"/>
                  <w:noWrap w:val="0"/>
                  <w:vAlign w:val="center"/>
                </w:tcPr>
                <w:p w14:paraId="4AFDB8F1">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w:t>
                  </w:r>
                  <w:r>
                    <w:rPr>
                      <w:rFonts w:hint="eastAsia" w:ascii="Times New Roman" w:hAnsi="Times New Roman" w:eastAsia="宋体"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rPr>
                    <w:t>资质单位</w:t>
                  </w:r>
                </w:p>
              </w:tc>
            </w:tr>
            <w:tr w14:paraId="7FD71FF6">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64" w:type="pct"/>
                  <w:vMerge w:val="continue"/>
                  <w:noWrap w:val="0"/>
                  <w:vAlign w:val="center"/>
                </w:tcPr>
                <w:p w14:paraId="327F4490">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7" w:type="pct"/>
                  <w:vMerge w:val="continue"/>
                  <w:noWrap w:val="0"/>
                  <w:vAlign w:val="center"/>
                </w:tcPr>
                <w:p w14:paraId="1E2EFF49">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667" w:type="pct"/>
                  <w:noWrap w:val="0"/>
                  <w:vAlign w:val="center"/>
                </w:tcPr>
                <w:p w14:paraId="6F679943">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次</w:t>
                  </w:r>
                  <w:r>
                    <w:rPr>
                      <w:rFonts w:hint="default" w:ascii="Times New Roman" w:hAnsi="Times New Roman" w:eastAsia="宋体" w:cs="Times New Roman"/>
                      <w:color w:val="auto"/>
                      <w:sz w:val="21"/>
                      <w:szCs w:val="21"/>
                      <w:highlight w:val="none"/>
                      <w:lang w:val="en-US" w:eastAsia="zh-CN"/>
                    </w:rPr>
                    <w:t>/年</w:t>
                  </w:r>
                </w:p>
              </w:tc>
              <w:tc>
                <w:tcPr>
                  <w:tcW w:w="1283" w:type="pct"/>
                  <w:noWrap w:val="0"/>
                  <w:vAlign w:val="center"/>
                </w:tcPr>
                <w:p w14:paraId="0BA42A3C">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厂界</w:t>
                  </w:r>
                </w:p>
              </w:tc>
              <w:tc>
                <w:tcPr>
                  <w:tcW w:w="887" w:type="pct"/>
                  <w:vMerge w:val="continue"/>
                  <w:noWrap w:val="0"/>
                  <w:vAlign w:val="center"/>
                </w:tcPr>
                <w:p w14:paraId="38466FE0">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37EFF63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64" w:type="pct"/>
                  <w:vMerge w:val="continue"/>
                  <w:noWrap w:val="0"/>
                  <w:vAlign w:val="center"/>
                </w:tcPr>
                <w:p w14:paraId="0C1B6EF4">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7" w:type="pct"/>
                  <w:vMerge w:val="continue"/>
                  <w:noWrap w:val="0"/>
                  <w:vAlign w:val="center"/>
                </w:tcPr>
                <w:p w14:paraId="365E202F">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667" w:type="pct"/>
                  <w:noWrap w:val="0"/>
                  <w:vAlign w:val="center"/>
                </w:tcPr>
                <w:p w14:paraId="72A24509">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次</w:t>
                  </w:r>
                  <w:r>
                    <w:rPr>
                      <w:rFonts w:hint="default" w:ascii="Times New Roman" w:hAnsi="Times New Roman" w:eastAsia="宋体" w:cs="Times New Roman"/>
                      <w:color w:val="auto"/>
                      <w:sz w:val="21"/>
                      <w:szCs w:val="21"/>
                      <w:highlight w:val="none"/>
                      <w:lang w:val="en-US" w:eastAsia="zh-CN"/>
                    </w:rPr>
                    <w:t>/年</w:t>
                  </w:r>
                </w:p>
              </w:tc>
              <w:tc>
                <w:tcPr>
                  <w:tcW w:w="1283" w:type="pct"/>
                  <w:noWrap w:val="0"/>
                  <w:vAlign w:val="center"/>
                </w:tcPr>
                <w:p w14:paraId="310D4773">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厂区</w:t>
                  </w:r>
                </w:p>
              </w:tc>
              <w:tc>
                <w:tcPr>
                  <w:tcW w:w="887" w:type="pct"/>
                  <w:vMerge w:val="continue"/>
                  <w:noWrap w:val="0"/>
                  <w:vAlign w:val="center"/>
                </w:tcPr>
                <w:p w14:paraId="1A709DA7">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bl>
          <w:p w14:paraId="2DE54C89">
            <w:pPr>
              <w:pStyle w:val="56"/>
              <w:keepNext w:val="0"/>
              <w:keepLines w:val="0"/>
              <w:pageBreakBefore w:val="0"/>
              <w:widowControl w:val="0"/>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4.2废水</w:t>
            </w:r>
          </w:p>
          <w:p w14:paraId="7FC0788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2.1</w:t>
            </w:r>
            <w:r>
              <w:rPr>
                <w:rFonts w:hint="default" w:ascii="Times New Roman" w:hAnsi="Times New Roman" w:eastAsia="宋体" w:cs="Times New Roman"/>
                <w:b/>
                <w:bCs/>
                <w:color w:val="auto"/>
                <w:sz w:val="24"/>
                <w:szCs w:val="24"/>
                <w:highlight w:val="none"/>
                <w:lang w:eastAsia="zh-CN"/>
              </w:rPr>
              <w:t>废水源强分析</w:t>
            </w:r>
          </w:p>
          <w:p w14:paraId="237B4569">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1</w:t>
            </w:r>
            <w:r>
              <w:rPr>
                <w:rFonts w:hint="eastAsia" w:ascii="Times New Roman" w:hAnsi="Times New Roman" w:eastAsia="宋体" w:cs="Times New Roman"/>
                <w:color w:val="000000"/>
                <w:sz w:val="24"/>
                <w:highlight w:val="none"/>
                <w:lang w:eastAsia="zh-CN"/>
              </w:rPr>
              <w:t>）生活污水</w:t>
            </w:r>
          </w:p>
          <w:p w14:paraId="7F77CBEF">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highlight w:val="none"/>
                <w:lang w:eastAsia="zh-CN"/>
              </w:rPr>
              <w:t>项目</w:t>
            </w:r>
            <w:r>
              <w:rPr>
                <w:rFonts w:hint="default" w:ascii="Times New Roman" w:hAnsi="Times New Roman" w:eastAsia="宋体" w:cs="Times New Roman"/>
                <w:color w:val="000000"/>
                <w:sz w:val="24"/>
                <w:highlight w:val="none"/>
                <w:lang w:eastAsia="zh-CN"/>
              </w:rPr>
              <w:t>生活污水</w:t>
            </w:r>
            <w:r>
              <w:rPr>
                <w:rFonts w:hint="eastAsia" w:ascii="Times New Roman" w:hAnsi="Times New Roman" w:eastAsia="宋体" w:cs="Times New Roman"/>
                <w:color w:val="000000"/>
                <w:sz w:val="24"/>
                <w:highlight w:val="none"/>
                <w:lang w:eastAsia="zh-CN"/>
              </w:rPr>
              <w:t>产生量为</w:t>
            </w:r>
            <w:r>
              <w:rPr>
                <w:rFonts w:hint="eastAsia" w:cs="Times New Roman"/>
                <w:color w:val="000000"/>
                <w:sz w:val="24"/>
                <w:highlight w:val="none"/>
                <w:lang w:val="en-US" w:eastAsia="zh-CN"/>
              </w:rPr>
              <w:t>7.2</w:t>
            </w:r>
            <w:r>
              <w:rPr>
                <w:rFonts w:hint="default" w:ascii="Times New Roman" w:hAnsi="Times New Roman" w:eastAsia="宋体" w:cs="Times New Roman"/>
                <w:bCs/>
                <w:color w:val="000000"/>
                <w:sz w:val="24"/>
                <w:szCs w:val="24"/>
                <w:highlight w:val="none"/>
                <w:lang w:val="en-US" w:eastAsia="zh-CN"/>
              </w:rPr>
              <w:t>t</w:t>
            </w:r>
            <w:r>
              <w:rPr>
                <w:rFonts w:hint="default" w:ascii="Times New Roman" w:hAnsi="Times New Roman" w:eastAsia="宋体" w:cs="Times New Roman"/>
                <w:bCs/>
                <w:color w:val="000000"/>
                <w:sz w:val="24"/>
                <w:szCs w:val="24"/>
                <w:highlight w:val="none"/>
              </w:rPr>
              <w:t>/d（</w:t>
            </w:r>
            <w:r>
              <w:rPr>
                <w:rFonts w:hint="eastAsia" w:cs="Times New Roman"/>
                <w:bCs/>
                <w:color w:val="000000"/>
                <w:sz w:val="24"/>
                <w:szCs w:val="24"/>
                <w:highlight w:val="none"/>
                <w:lang w:val="en-US" w:eastAsia="zh-CN"/>
              </w:rPr>
              <w:t>21</w:t>
            </w:r>
            <w:r>
              <w:rPr>
                <w:rFonts w:hint="eastAsia" w:ascii="Times New Roman" w:hAnsi="Times New Roman" w:eastAsia="宋体" w:cs="Times New Roman"/>
                <w:bCs/>
                <w:color w:val="000000"/>
                <w:sz w:val="24"/>
                <w:szCs w:val="24"/>
                <w:highlight w:val="none"/>
                <w:lang w:val="en-US" w:eastAsia="zh-CN"/>
              </w:rPr>
              <w:t>60</w:t>
            </w:r>
            <w:r>
              <w:rPr>
                <w:rFonts w:hint="default" w:ascii="Times New Roman" w:hAnsi="Times New Roman" w:eastAsia="宋体" w:cs="Times New Roman"/>
                <w:bCs/>
                <w:color w:val="000000"/>
                <w:sz w:val="24"/>
                <w:szCs w:val="24"/>
                <w:highlight w:val="none"/>
              </w:rPr>
              <w:t>t/a）</w:t>
            </w:r>
            <w:r>
              <w:rPr>
                <w:rFonts w:hint="eastAsia" w:ascii="Times New Roman" w:hAnsi="Times New Roman" w:eastAsia="宋体" w:cs="Times New Roman"/>
                <w:bCs/>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参考《生活源产排污核算方法和系数手册》及《给水排水设计手册》典型生活污水水质，</w:t>
            </w:r>
            <w:r>
              <w:rPr>
                <w:rFonts w:hint="default" w:ascii="Times New Roman" w:hAnsi="Times New Roman" w:eastAsia="宋体" w:cs="Times New Roman"/>
                <w:color w:val="000000"/>
                <w:sz w:val="24"/>
                <w:szCs w:val="24"/>
                <w:highlight w:val="none"/>
              </w:rPr>
              <w:t>生活污水的</w:t>
            </w:r>
            <w:r>
              <w:rPr>
                <w:rFonts w:hint="eastAsia" w:ascii="Times New Roman" w:hAnsi="Times New Roman" w:eastAsia="宋体" w:cs="Times New Roman"/>
                <w:color w:val="000000"/>
                <w:sz w:val="24"/>
                <w:szCs w:val="24"/>
                <w:highlight w:val="none"/>
                <w:lang w:eastAsia="zh-CN"/>
              </w:rPr>
              <w:t>污染物浓度大体为</w:t>
            </w:r>
            <w:r>
              <w:rPr>
                <w:rFonts w:hint="eastAsia"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rPr>
              <w:t>COD：</w:t>
            </w:r>
            <w:r>
              <w:rPr>
                <w:rFonts w:hint="eastAsia" w:ascii="Times New Roman" w:hAnsi="Times New Roman" w:eastAsia="宋体" w:cs="Times New Roman"/>
                <w:color w:val="000000"/>
                <w:sz w:val="24"/>
                <w:szCs w:val="24"/>
                <w:highlight w:val="none"/>
                <w:lang w:val="en-US" w:eastAsia="zh-CN"/>
              </w:rPr>
              <w:t>34</w:t>
            </w:r>
            <w:r>
              <w:rPr>
                <w:rFonts w:hint="default" w:ascii="Times New Roman" w:hAnsi="Times New Roman" w:eastAsia="宋体" w:cs="Times New Roman"/>
                <w:color w:val="000000"/>
                <w:sz w:val="24"/>
                <w:szCs w:val="24"/>
                <w:highlight w:val="none"/>
              </w:rPr>
              <w:t>0mg/L；BOD</w:t>
            </w:r>
            <w:r>
              <w:rPr>
                <w:rFonts w:hint="default" w:ascii="Times New Roman" w:hAnsi="Times New Roman" w:eastAsia="宋体" w:cs="Times New Roman"/>
                <w:color w:val="000000"/>
                <w:sz w:val="24"/>
                <w:szCs w:val="24"/>
                <w:highlight w:val="none"/>
                <w:vertAlign w:val="subscript"/>
              </w:rPr>
              <w:t>5</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50mg/L；SS：220mg/L；NH</w:t>
            </w:r>
            <w:r>
              <w:rPr>
                <w:rFonts w:hint="default" w:ascii="Times New Roman" w:hAnsi="Times New Roman" w:eastAsia="宋体" w:cs="Times New Roman"/>
                <w:color w:val="000000"/>
                <w:sz w:val="24"/>
                <w:szCs w:val="24"/>
                <w:highlight w:val="none"/>
                <w:vertAlign w:val="subscript"/>
              </w:rPr>
              <w:t>3</w:t>
            </w:r>
            <w:r>
              <w:rPr>
                <w:rFonts w:hint="default" w:ascii="Times New Roman" w:hAnsi="Times New Roman" w:eastAsia="宋体" w:cs="Times New Roman"/>
                <w:color w:val="000000"/>
                <w:sz w:val="24"/>
                <w:szCs w:val="24"/>
                <w:highlight w:val="none"/>
              </w:rPr>
              <w:t>-N：3</w:t>
            </w:r>
            <w:r>
              <w:rPr>
                <w:rFonts w:hint="eastAsia" w:ascii="Times New Roman" w:hAnsi="Times New Roman" w:eastAsia="宋体" w:cs="Times New Roman"/>
                <w:color w:val="000000"/>
                <w:sz w:val="24"/>
                <w:szCs w:val="24"/>
                <w:highlight w:val="none"/>
                <w:lang w:val="en-US" w:eastAsia="zh-CN"/>
              </w:rPr>
              <w:t>2.6</w:t>
            </w:r>
            <w:r>
              <w:rPr>
                <w:rFonts w:hint="default" w:ascii="Times New Roman" w:hAnsi="Times New Roman" w:eastAsia="宋体" w:cs="Times New Roman"/>
                <w:color w:val="000000"/>
                <w:sz w:val="24"/>
                <w:szCs w:val="24"/>
                <w:highlight w:val="none"/>
              </w:rPr>
              <w:t>mg/L；</w:t>
            </w:r>
            <w:r>
              <w:rPr>
                <w:rFonts w:hint="default" w:ascii="Times New Roman" w:hAnsi="Times New Roman" w:eastAsia="宋体" w:cs="Times New Roman"/>
                <w:color w:val="auto"/>
                <w:sz w:val="24"/>
                <w:szCs w:val="24"/>
                <w:highlight w:val="none"/>
              </w:rPr>
              <w:t>pH：6.5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8</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bCs/>
                <w:color w:val="000000"/>
                <w:sz w:val="24"/>
                <w:szCs w:val="24"/>
                <w:highlight w:val="none"/>
              </w:rPr>
              <w:t>项目</w:t>
            </w:r>
            <w:r>
              <w:rPr>
                <w:rFonts w:hint="default" w:ascii="Times New Roman" w:hAnsi="Times New Roman" w:eastAsia="宋体" w:cs="Times New Roman"/>
                <w:bCs/>
                <w:color w:val="000000"/>
                <w:sz w:val="24"/>
                <w:szCs w:val="24"/>
                <w:highlight w:val="none"/>
                <w:lang w:val="en-US" w:eastAsia="zh-CN"/>
              </w:rPr>
              <w:t>生活污水经化粪池（TW001）预处理</w:t>
            </w:r>
            <w:r>
              <w:rPr>
                <w:rFonts w:hint="eastAsia" w:ascii="Times New Roman" w:hAnsi="Times New Roman" w:eastAsia="宋体" w:cs="Times New Roman"/>
                <w:bCs/>
                <w:color w:val="000000"/>
                <w:sz w:val="24"/>
                <w:szCs w:val="24"/>
                <w:highlight w:val="none"/>
                <w:lang w:val="en-US" w:eastAsia="zh-CN" w:bidi="ar"/>
              </w:rPr>
              <w:t>后达标排放</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生活污水水质情况及污染源强详见表</w:t>
            </w:r>
            <w:r>
              <w:rPr>
                <w:rFonts w:hint="eastAsia" w:ascii="Times New Roman" w:hAnsi="Times New Roman" w:eastAsia="宋体" w:cs="Times New Roman"/>
                <w:color w:val="000000"/>
                <w:sz w:val="24"/>
                <w:szCs w:val="24"/>
                <w:highlight w:val="none"/>
                <w:lang w:val="en-US" w:eastAsia="zh-CN"/>
              </w:rPr>
              <w:t>4-</w:t>
            </w:r>
            <w:r>
              <w:rPr>
                <w:rFonts w:hint="eastAsia" w:cs="Times New Roman"/>
                <w:color w:val="000000"/>
                <w:sz w:val="24"/>
                <w:szCs w:val="24"/>
                <w:highlight w:val="none"/>
                <w:lang w:val="en-US" w:eastAsia="zh-CN"/>
              </w:rPr>
              <w:t>11</w:t>
            </w:r>
            <w:r>
              <w:rPr>
                <w:rFonts w:hint="eastAsia" w:ascii="Times New Roman" w:hAnsi="Times New Roman" w:eastAsia="宋体" w:cs="Times New Roman"/>
                <w:color w:val="000000"/>
                <w:sz w:val="24"/>
                <w:szCs w:val="24"/>
                <w:highlight w:val="none"/>
                <w:lang w:val="en-US" w:eastAsia="zh-CN"/>
              </w:rPr>
              <w:t>。</w:t>
            </w:r>
          </w:p>
          <w:p w14:paraId="154DAB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表4-</w:t>
            </w:r>
            <w:r>
              <w:rPr>
                <w:rFonts w:hint="eastAsia" w:cs="Times New Roman"/>
                <w:b/>
                <w:bCs/>
                <w:color w:val="000000"/>
                <w:sz w:val="24"/>
                <w:szCs w:val="24"/>
                <w:highlight w:val="none"/>
                <w:lang w:val="en-US" w:eastAsia="zh-CN"/>
              </w:rPr>
              <w:t>11</w:t>
            </w:r>
            <w:r>
              <w:rPr>
                <w:rFonts w:hint="eastAsia" w:ascii="Times New Roman" w:hAnsi="Times New Roman" w:eastAsia="宋体" w:cs="Times New Roman"/>
                <w:b/>
                <w:bCs/>
                <w:color w:val="000000"/>
                <w:sz w:val="24"/>
                <w:szCs w:val="24"/>
                <w:highlight w:val="none"/>
                <w:lang w:val="en-US" w:eastAsia="zh-CN"/>
              </w:rPr>
              <w:t>生活污水源强及排放情况表</w:t>
            </w:r>
          </w:p>
          <w:tbl>
            <w:tblPr>
              <w:tblStyle w:val="26"/>
              <w:tblW w:w="782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846"/>
              <w:gridCol w:w="681"/>
              <w:gridCol w:w="969"/>
              <w:gridCol w:w="804"/>
              <w:gridCol w:w="941"/>
              <w:gridCol w:w="736"/>
              <w:gridCol w:w="887"/>
              <w:gridCol w:w="968"/>
              <w:gridCol w:w="551"/>
            </w:tblGrid>
            <w:tr w14:paraId="60D6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2" w:type="dxa"/>
                  <w:tcBorders>
                    <w:top w:val="single" w:color="auto" w:sz="12" w:space="0"/>
                    <w:left w:val="nil"/>
                  </w:tcBorders>
                  <w:noWrap w:val="0"/>
                  <w:vAlign w:val="center"/>
                </w:tcPr>
                <w:p w14:paraId="447DEFE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废水种类</w:t>
                  </w:r>
                </w:p>
              </w:tc>
              <w:tc>
                <w:tcPr>
                  <w:tcW w:w="846" w:type="dxa"/>
                  <w:tcBorders>
                    <w:top w:val="single" w:color="auto" w:sz="12" w:space="0"/>
                  </w:tcBorders>
                  <w:noWrap w:val="0"/>
                  <w:vAlign w:val="center"/>
                </w:tcPr>
                <w:p w14:paraId="10300BEF">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主要污染物</w:t>
                  </w:r>
                </w:p>
              </w:tc>
              <w:tc>
                <w:tcPr>
                  <w:tcW w:w="681" w:type="dxa"/>
                  <w:tcBorders>
                    <w:top w:val="single" w:color="auto" w:sz="12" w:space="0"/>
                  </w:tcBorders>
                  <w:noWrap w:val="0"/>
                  <w:vAlign w:val="center"/>
                </w:tcPr>
                <w:p w14:paraId="5C54939D">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水量</w:t>
                  </w:r>
                </w:p>
                <w:p w14:paraId="387C87AA">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t/a</w:t>
                  </w:r>
                  <w:r>
                    <w:rPr>
                      <w:rFonts w:hint="eastAsia" w:ascii="Times New Roman" w:hAnsi="Times New Roman" w:eastAsia="宋体" w:cs="Times New Roman"/>
                      <w:color w:val="000000"/>
                      <w:sz w:val="18"/>
                      <w:szCs w:val="18"/>
                      <w:highlight w:val="none"/>
                      <w:vertAlign w:val="baseline"/>
                      <w:lang w:eastAsia="zh-CN"/>
                    </w:rPr>
                    <w:t>）</w:t>
                  </w:r>
                </w:p>
              </w:tc>
              <w:tc>
                <w:tcPr>
                  <w:tcW w:w="969" w:type="dxa"/>
                  <w:tcBorders>
                    <w:top w:val="single" w:color="auto" w:sz="12" w:space="0"/>
                  </w:tcBorders>
                  <w:noWrap w:val="0"/>
                  <w:vAlign w:val="center"/>
                </w:tcPr>
                <w:p w14:paraId="50678E0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产生浓度</w:t>
                  </w:r>
                </w:p>
                <w:p w14:paraId="093F96BF">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mg/L</w:t>
                  </w:r>
                  <w:r>
                    <w:rPr>
                      <w:rFonts w:hint="eastAsia" w:ascii="Times New Roman" w:hAnsi="Times New Roman" w:eastAsia="宋体" w:cs="Times New Roman"/>
                      <w:color w:val="000000"/>
                      <w:sz w:val="18"/>
                      <w:szCs w:val="18"/>
                      <w:highlight w:val="none"/>
                      <w:vertAlign w:val="baseline"/>
                      <w:lang w:eastAsia="zh-CN"/>
                    </w:rPr>
                    <w:t>）</w:t>
                  </w:r>
                </w:p>
              </w:tc>
              <w:tc>
                <w:tcPr>
                  <w:tcW w:w="804" w:type="dxa"/>
                  <w:tcBorders>
                    <w:top w:val="single" w:color="auto" w:sz="12" w:space="0"/>
                  </w:tcBorders>
                  <w:noWrap w:val="0"/>
                  <w:vAlign w:val="center"/>
                </w:tcPr>
                <w:p w14:paraId="65C1AC42">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产生量</w:t>
                  </w:r>
                </w:p>
                <w:p w14:paraId="314A510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t/a</w:t>
                  </w:r>
                  <w:r>
                    <w:rPr>
                      <w:rFonts w:hint="eastAsia" w:ascii="Times New Roman" w:hAnsi="Times New Roman" w:eastAsia="宋体" w:cs="Times New Roman"/>
                      <w:color w:val="000000"/>
                      <w:sz w:val="18"/>
                      <w:szCs w:val="18"/>
                      <w:highlight w:val="none"/>
                      <w:vertAlign w:val="baseline"/>
                      <w:lang w:eastAsia="zh-CN"/>
                    </w:rPr>
                    <w:t>）</w:t>
                  </w:r>
                </w:p>
              </w:tc>
              <w:tc>
                <w:tcPr>
                  <w:tcW w:w="941" w:type="dxa"/>
                  <w:tcBorders>
                    <w:top w:val="single" w:color="auto" w:sz="12" w:space="0"/>
                  </w:tcBorders>
                  <w:noWrap w:val="0"/>
                  <w:vAlign w:val="center"/>
                </w:tcPr>
                <w:p w14:paraId="588033B6">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排放浓度</w:t>
                  </w:r>
                </w:p>
                <w:p w14:paraId="3B526B05">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mg/L</w:t>
                  </w:r>
                  <w:r>
                    <w:rPr>
                      <w:rFonts w:hint="eastAsia" w:ascii="Times New Roman" w:hAnsi="Times New Roman" w:eastAsia="宋体" w:cs="Times New Roman"/>
                      <w:color w:val="000000"/>
                      <w:sz w:val="18"/>
                      <w:szCs w:val="18"/>
                      <w:highlight w:val="none"/>
                      <w:vertAlign w:val="baseline"/>
                      <w:lang w:eastAsia="zh-CN"/>
                    </w:rPr>
                    <w:t>）</w:t>
                  </w:r>
                </w:p>
              </w:tc>
              <w:tc>
                <w:tcPr>
                  <w:tcW w:w="736" w:type="dxa"/>
                  <w:tcBorders>
                    <w:top w:val="single" w:color="auto" w:sz="12" w:space="0"/>
                  </w:tcBorders>
                  <w:noWrap w:val="0"/>
                  <w:vAlign w:val="center"/>
                </w:tcPr>
                <w:p w14:paraId="1042666D">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排放量（</w:t>
                  </w:r>
                  <w:r>
                    <w:rPr>
                      <w:rFonts w:hint="eastAsia" w:ascii="Times New Roman" w:hAnsi="Times New Roman" w:eastAsia="宋体" w:cs="Times New Roman"/>
                      <w:color w:val="000000"/>
                      <w:sz w:val="18"/>
                      <w:szCs w:val="18"/>
                      <w:highlight w:val="none"/>
                      <w:vertAlign w:val="baseline"/>
                      <w:lang w:val="en-US" w:eastAsia="zh-CN"/>
                    </w:rPr>
                    <w:t>t/a</w:t>
                  </w:r>
                  <w:r>
                    <w:rPr>
                      <w:rFonts w:hint="eastAsia" w:ascii="Times New Roman" w:hAnsi="Times New Roman" w:eastAsia="宋体" w:cs="Times New Roman"/>
                      <w:color w:val="000000"/>
                      <w:sz w:val="18"/>
                      <w:szCs w:val="18"/>
                      <w:highlight w:val="none"/>
                      <w:vertAlign w:val="baseline"/>
                      <w:lang w:eastAsia="zh-CN"/>
                    </w:rPr>
                    <w:t>）</w:t>
                  </w:r>
                </w:p>
              </w:tc>
              <w:tc>
                <w:tcPr>
                  <w:tcW w:w="887" w:type="dxa"/>
                  <w:tcBorders>
                    <w:top w:val="single" w:color="auto" w:sz="12" w:space="0"/>
                  </w:tcBorders>
                  <w:noWrap w:val="0"/>
                  <w:vAlign w:val="center"/>
                </w:tcPr>
                <w:p w14:paraId="786F238F">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允许排放浓度（</w:t>
                  </w:r>
                  <w:r>
                    <w:rPr>
                      <w:rFonts w:hint="eastAsia" w:ascii="Times New Roman" w:hAnsi="Times New Roman" w:eastAsia="宋体" w:cs="Times New Roman"/>
                      <w:color w:val="000000"/>
                      <w:sz w:val="18"/>
                      <w:szCs w:val="18"/>
                      <w:highlight w:val="none"/>
                      <w:vertAlign w:val="baseline"/>
                      <w:lang w:val="en-US" w:eastAsia="zh-CN"/>
                    </w:rPr>
                    <w:t>mg/L</w:t>
                  </w:r>
                  <w:r>
                    <w:rPr>
                      <w:rFonts w:hint="eastAsia" w:ascii="Times New Roman" w:hAnsi="Times New Roman" w:eastAsia="宋体" w:cs="Times New Roman"/>
                      <w:color w:val="000000"/>
                      <w:sz w:val="18"/>
                      <w:szCs w:val="18"/>
                      <w:highlight w:val="none"/>
                      <w:vertAlign w:val="baseline"/>
                      <w:lang w:eastAsia="zh-CN"/>
                    </w:rPr>
                    <w:t>）</w:t>
                  </w:r>
                </w:p>
              </w:tc>
              <w:tc>
                <w:tcPr>
                  <w:tcW w:w="968" w:type="dxa"/>
                  <w:tcBorders>
                    <w:top w:val="single" w:color="auto" w:sz="12" w:space="0"/>
                  </w:tcBorders>
                  <w:noWrap w:val="0"/>
                  <w:vAlign w:val="center"/>
                </w:tcPr>
                <w:p w14:paraId="09B8397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执行标准</w:t>
                  </w:r>
                </w:p>
              </w:tc>
              <w:tc>
                <w:tcPr>
                  <w:tcW w:w="551" w:type="dxa"/>
                  <w:tcBorders>
                    <w:top w:val="single" w:color="auto" w:sz="12" w:space="0"/>
                    <w:right w:val="nil"/>
                  </w:tcBorders>
                  <w:noWrap w:val="0"/>
                  <w:vAlign w:val="center"/>
                </w:tcPr>
                <w:p w14:paraId="676547EF">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是否达标</w:t>
                  </w:r>
                </w:p>
              </w:tc>
            </w:tr>
            <w:tr w14:paraId="516F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2" w:type="dxa"/>
                  <w:vMerge w:val="restart"/>
                  <w:tcBorders>
                    <w:left w:val="nil"/>
                  </w:tcBorders>
                  <w:noWrap w:val="0"/>
                  <w:vAlign w:val="center"/>
                </w:tcPr>
                <w:p w14:paraId="5B3AAA27">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生活污水</w:t>
                  </w:r>
                </w:p>
              </w:tc>
              <w:tc>
                <w:tcPr>
                  <w:tcW w:w="846" w:type="dxa"/>
                  <w:noWrap w:val="0"/>
                  <w:vAlign w:val="center"/>
                </w:tcPr>
                <w:p w14:paraId="79002CBA">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COD</w:t>
                  </w:r>
                </w:p>
              </w:tc>
              <w:tc>
                <w:tcPr>
                  <w:tcW w:w="681" w:type="dxa"/>
                  <w:vMerge w:val="restart"/>
                  <w:noWrap w:val="0"/>
                  <w:vAlign w:val="center"/>
                </w:tcPr>
                <w:p w14:paraId="36DC92C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2160</w:t>
                  </w:r>
                </w:p>
              </w:tc>
              <w:tc>
                <w:tcPr>
                  <w:tcW w:w="969" w:type="dxa"/>
                  <w:noWrap w:val="0"/>
                  <w:vAlign w:val="center"/>
                </w:tcPr>
                <w:p w14:paraId="3068632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340</w:t>
                  </w:r>
                </w:p>
              </w:tc>
              <w:tc>
                <w:tcPr>
                  <w:tcW w:w="804" w:type="dxa"/>
                  <w:noWrap w:val="0"/>
                  <w:vAlign w:val="center"/>
                </w:tcPr>
                <w:p w14:paraId="77432CB6">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w:t>
                  </w:r>
                  <w:r>
                    <w:rPr>
                      <w:rFonts w:hint="eastAsia" w:cs="Times New Roman"/>
                      <w:color w:val="000000"/>
                      <w:sz w:val="18"/>
                      <w:szCs w:val="18"/>
                      <w:highlight w:val="none"/>
                      <w:vertAlign w:val="baseline"/>
                      <w:lang w:val="en-US" w:eastAsia="zh-CN"/>
                    </w:rPr>
                    <w:t>734</w:t>
                  </w:r>
                </w:p>
              </w:tc>
              <w:tc>
                <w:tcPr>
                  <w:tcW w:w="941" w:type="dxa"/>
                  <w:noWrap w:val="0"/>
                  <w:vAlign w:val="center"/>
                </w:tcPr>
                <w:p w14:paraId="1ED7E12D">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50</w:t>
                  </w:r>
                </w:p>
              </w:tc>
              <w:tc>
                <w:tcPr>
                  <w:tcW w:w="736" w:type="dxa"/>
                  <w:noWrap w:val="0"/>
                  <w:vAlign w:val="center"/>
                </w:tcPr>
                <w:p w14:paraId="5153B985">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w:t>
                  </w:r>
                  <w:r>
                    <w:rPr>
                      <w:rFonts w:hint="eastAsia" w:cs="Times New Roman"/>
                      <w:color w:val="000000"/>
                      <w:sz w:val="18"/>
                      <w:szCs w:val="18"/>
                      <w:highlight w:val="none"/>
                      <w:vertAlign w:val="baseline"/>
                      <w:lang w:val="en-US" w:eastAsia="zh-CN"/>
                    </w:rPr>
                    <w:t>108</w:t>
                  </w:r>
                </w:p>
              </w:tc>
              <w:tc>
                <w:tcPr>
                  <w:tcW w:w="887" w:type="dxa"/>
                  <w:noWrap w:val="0"/>
                  <w:vAlign w:val="center"/>
                </w:tcPr>
                <w:p w14:paraId="6B22A3E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50</w:t>
                  </w:r>
                </w:p>
              </w:tc>
              <w:tc>
                <w:tcPr>
                  <w:tcW w:w="968" w:type="dxa"/>
                  <w:vMerge w:val="restart"/>
                  <w:noWrap w:val="0"/>
                  <w:vAlign w:val="center"/>
                </w:tcPr>
                <w:p w14:paraId="5023EA00">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GB18918-20002</w:t>
                  </w:r>
                  <w:r>
                    <w:rPr>
                      <w:rFonts w:hint="eastAsia" w:ascii="Times New Roman" w:hAnsi="Times New Roman" w:eastAsia="宋体" w:cs="Times New Roman"/>
                      <w:color w:val="000000"/>
                      <w:sz w:val="18"/>
                      <w:szCs w:val="18"/>
                      <w:highlight w:val="none"/>
                      <w:vertAlign w:val="baseline"/>
                      <w:lang w:eastAsia="zh-CN"/>
                    </w:rPr>
                    <w:t>《城镇污水处理厂污染物排放标准》一级标准中的</w:t>
                  </w:r>
                  <w:r>
                    <w:rPr>
                      <w:rFonts w:hint="eastAsia" w:ascii="Times New Roman" w:hAnsi="Times New Roman" w:eastAsia="宋体" w:cs="Times New Roman"/>
                      <w:color w:val="000000"/>
                      <w:sz w:val="18"/>
                      <w:szCs w:val="18"/>
                      <w:highlight w:val="none"/>
                      <w:vertAlign w:val="baseline"/>
                      <w:lang w:val="en-US" w:eastAsia="zh-CN"/>
                    </w:rPr>
                    <w:t>A标准</w:t>
                  </w:r>
                </w:p>
              </w:tc>
              <w:tc>
                <w:tcPr>
                  <w:tcW w:w="551" w:type="dxa"/>
                  <w:tcBorders>
                    <w:right w:val="nil"/>
                  </w:tcBorders>
                  <w:noWrap w:val="0"/>
                  <w:vAlign w:val="center"/>
                </w:tcPr>
                <w:p w14:paraId="5FB0DFFA">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是</w:t>
                  </w:r>
                </w:p>
              </w:tc>
            </w:tr>
            <w:tr w14:paraId="3086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2" w:type="dxa"/>
                  <w:vMerge w:val="continue"/>
                  <w:tcBorders>
                    <w:left w:val="nil"/>
                  </w:tcBorders>
                  <w:noWrap w:val="0"/>
                  <w:vAlign w:val="center"/>
                </w:tcPr>
                <w:p w14:paraId="441B29ED">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846" w:type="dxa"/>
                  <w:noWrap w:val="0"/>
                  <w:vAlign w:val="center"/>
                </w:tcPr>
                <w:p w14:paraId="7278D862">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BOD</w:t>
                  </w:r>
                  <w:r>
                    <w:rPr>
                      <w:rFonts w:hint="eastAsia" w:ascii="Times New Roman" w:hAnsi="Times New Roman" w:eastAsia="宋体" w:cs="Times New Roman"/>
                      <w:color w:val="000000"/>
                      <w:sz w:val="18"/>
                      <w:szCs w:val="18"/>
                      <w:highlight w:val="none"/>
                      <w:vertAlign w:val="subscript"/>
                      <w:lang w:val="en-US" w:eastAsia="zh-CN"/>
                    </w:rPr>
                    <w:t>5</w:t>
                  </w:r>
                </w:p>
              </w:tc>
              <w:tc>
                <w:tcPr>
                  <w:tcW w:w="681" w:type="dxa"/>
                  <w:vMerge w:val="continue"/>
                  <w:noWrap w:val="0"/>
                  <w:vAlign w:val="center"/>
                </w:tcPr>
                <w:p w14:paraId="4B05974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69" w:type="dxa"/>
                  <w:noWrap w:val="0"/>
                  <w:vAlign w:val="center"/>
                </w:tcPr>
                <w:p w14:paraId="709985B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250</w:t>
                  </w:r>
                </w:p>
              </w:tc>
              <w:tc>
                <w:tcPr>
                  <w:tcW w:w="804" w:type="dxa"/>
                  <w:noWrap w:val="0"/>
                  <w:vAlign w:val="center"/>
                </w:tcPr>
                <w:p w14:paraId="75075A35">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w:t>
                  </w:r>
                  <w:r>
                    <w:rPr>
                      <w:rFonts w:hint="eastAsia" w:cs="Times New Roman"/>
                      <w:color w:val="000000"/>
                      <w:sz w:val="18"/>
                      <w:szCs w:val="18"/>
                      <w:highlight w:val="none"/>
                      <w:vertAlign w:val="baseline"/>
                      <w:lang w:val="en-US" w:eastAsia="zh-CN"/>
                    </w:rPr>
                    <w:t>54</w:t>
                  </w:r>
                  <w:r>
                    <w:rPr>
                      <w:rFonts w:hint="eastAsia" w:ascii="Times New Roman" w:hAnsi="Times New Roman" w:eastAsia="宋体" w:cs="Times New Roman"/>
                      <w:color w:val="000000"/>
                      <w:sz w:val="18"/>
                      <w:szCs w:val="18"/>
                      <w:highlight w:val="none"/>
                      <w:vertAlign w:val="baseline"/>
                      <w:lang w:val="en-US" w:eastAsia="zh-CN"/>
                    </w:rPr>
                    <w:t>0</w:t>
                  </w:r>
                </w:p>
              </w:tc>
              <w:tc>
                <w:tcPr>
                  <w:tcW w:w="941" w:type="dxa"/>
                  <w:noWrap w:val="0"/>
                  <w:vAlign w:val="center"/>
                </w:tcPr>
                <w:p w14:paraId="06B7FCB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736" w:type="dxa"/>
                  <w:noWrap w:val="0"/>
                  <w:vAlign w:val="center"/>
                </w:tcPr>
                <w:p w14:paraId="7FE4C317">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w:t>
                  </w:r>
                  <w:r>
                    <w:rPr>
                      <w:rFonts w:hint="eastAsia" w:cs="Times New Roman"/>
                      <w:color w:val="000000"/>
                      <w:sz w:val="18"/>
                      <w:szCs w:val="18"/>
                      <w:highlight w:val="none"/>
                      <w:vertAlign w:val="baseline"/>
                      <w:lang w:val="en-US" w:eastAsia="zh-CN"/>
                    </w:rPr>
                    <w:t>22</w:t>
                  </w:r>
                </w:p>
              </w:tc>
              <w:tc>
                <w:tcPr>
                  <w:tcW w:w="887" w:type="dxa"/>
                  <w:noWrap w:val="0"/>
                  <w:vAlign w:val="center"/>
                </w:tcPr>
                <w:p w14:paraId="780DC68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968" w:type="dxa"/>
                  <w:vMerge w:val="continue"/>
                  <w:noWrap w:val="0"/>
                  <w:vAlign w:val="center"/>
                </w:tcPr>
                <w:p w14:paraId="7893891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551" w:type="dxa"/>
                  <w:tcBorders>
                    <w:right w:val="nil"/>
                  </w:tcBorders>
                  <w:noWrap w:val="0"/>
                  <w:vAlign w:val="center"/>
                </w:tcPr>
                <w:p w14:paraId="21396C7C">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
                    </w:rPr>
                  </w:pPr>
                  <w:r>
                    <w:rPr>
                      <w:rFonts w:hint="eastAsia" w:ascii="Times New Roman" w:hAnsi="Times New Roman" w:eastAsia="宋体" w:cs="Times New Roman"/>
                      <w:color w:val="000000"/>
                      <w:sz w:val="18"/>
                      <w:szCs w:val="18"/>
                      <w:highlight w:val="none"/>
                      <w:vertAlign w:val="baseline"/>
                      <w:lang w:eastAsia="zh-CN"/>
                    </w:rPr>
                    <w:t>是</w:t>
                  </w:r>
                </w:p>
              </w:tc>
            </w:tr>
            <w:tr w14:paraId="24C7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2" w:type="dxa"/>
                  <w:vMerge w:val="continue"/>
                  <w:tcBorders>
                    <w:left w:val="nil"/>
                  </w:tcBorders>
                  <w:noWrap w:val="0"/>
                  <w:vAlign w:val="center"/>
                </w:tcPr>
                <w:p w14:paraId="1D26781A">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846" w:type="dxa"/>
                  <w:noWrap w:val="0"/>
                  <w:vAlign w:val="center"/>
                </w:tcPr>
                <w:p w14:paraId="701A50C5">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SS</w:t>
                  </w:r>
                </w:p>
              </w:tc>
              <w:tc>
                <w:tcPr>
                  <w:tcW w:w="681" w:type="dxa"/>
                  <w:vMerge w:val="continue"/>
                  <w:noWrap w:val="0"/>
                  <w:vAlign w:val="center"/>
                </w:tcPr>
                <w:p w14:paraId="1F16363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69" w:type="dxa"/>
                  <w:noWrap w:val="0"/>
                  <w:vAlign w:val="center"/>
                </w:tcPr>
                <w:p w14:paraId="4C192FF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220</w:t>
                  </w:r>
                </w:p>
              </w:tc>
              <w:tc>
                <w:tcPr>
                  <w:tcW w:w="804" w:type="dxa"/>
                  <w:noWrap w:val="0"/>
                  <w:vAlign w:val="center"/>
                </w:tcPr>
                <w:p w14:paraId="3B48427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w:t>
                  </w:r>
                  <w:r>
                    <w:rPr>
                      <w:rFonts w:hint="eastAsia" w:cs="Times New Roman"/>
                      <w:color w:val="000000"/>
                      <w:sz w:val="18"/>
                      <w:szCs w:val="18"/>
                      <w:highlight w:val="none"/>
                      <w:vertAlign w:val="baseline"/>
                      <w:lang w:val="en-US" w:eastAsia="zh-CN"/>
                    </w:rPr>
                    <w:t>475</w:t>
                  </w:r>
                </w:p>
              </w:tc>
              <w:tc>
                <w:tcPr>
                  <w:tcW w:w="941" w:type="dxa"/>
                  <w:noWrap w:val="0"/>
                  <w:vAlign w:val="center"/>
                </w:tcPr>
                <w:p w14:paraId="0B09CD9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736" w:type="dxa"/>
                  <w:noWrap w:val="0"/>
                  <w:vAlign w:val="center"/>
                </w:tcPr>
                <w:p w14:paraId="5A6A381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w:t>
                  </w:r>
                  <w:r>
                    <w:rPr>
                      <w:rFonts w:hint="eastAsia" w:cs="Times New Roman"/>
                      <w:color w:val="000000"/>
                      <w:sz w:val="18"/>
                      <w:szCs w:val="18"/>
                      <w:highlight w:val="none"/>
                      <w:vertAlign w:val="baseline"/>
                      <w:lang w:val="en-US" w:eastAsia="zh-CN"/>
                    </w:rPr>
                    <w:t>22</w:t>
                  </w:r>
                </w:p>
              </w:tc>
              <w:tc>
                <w:tcPr>
                  <w:tcW w:w="887" w:type="dxa"/>
                  <w:noWrap w:val="0"/>
                  <w:vAlign w:val="center"/>
                </w:tcPr>
                <w:p w14:paraId="3015C74A">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968" w:type="dxa"/>
                  <w:vMerge w:val="continue"/>
                  <w:noWrap w:val="0"/>
                  <w:vAlign w:val="center"/>
                </w:tcPr>
                <w:p w14:paraId="0C2B45A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551" w:type="dxa"/>
                  <w:tcBorders>
                    <w:right w:val="nil"/>
                  </w:tcBorders>
                  <w:noWrap w:val="0"/>
                  <w:vAlign w:val="center"/>
                </w:tcPr>
                <w:p w14:paraId="4865BC1C">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
                    </w:rPr>
                  </w:pPr>
                  <w:r>
                    <w:rPr>
                      <w:rFonts w:hint="eastAsia" w:ascii="Times New Roman" w:hAnsi="Times New Roman" w:eastAsia="宋体" w:cs="Times New Roman"/>
                      <w:color w:val="000000"/>
                      <w:sz w:val="18"/>
                      <w:szCs w:val="18"/>
                      <w:highlight w:val="none"/>
                      <w:vertAlign w:val="baseline"/>
                      <w:lang w:eastAsia="zh-CN"/>
                    </w:rPr>
                    <w:t>是</w:t>
                  </w:r>
                </w:p>
              </w:tc>
            </w:tr>
            <w:tr w14:paraId="3F42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2" w:type="dxa"/>
                  <w:vMerge w:val="continue"/>
                  <w:tcBorders>
                    <w:left w:val="nil"/>
                    <w:bottom w:val="single" w:color="auto" w:sz="12" w:space="0"/>
                  </w:tcBorders>
                  <w:noWrap w:val="0"/>
                  <w:vAlign w:val="center"/>
                </w:tcPr>
                <w:p w14:paraId="4D8E4A66">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846" w:type="dxa"/>
                  <w:tcBorders>
                    <w:bottom w:val="single" w:color="auto" w:sz="12" w:space="0"/>
                  </w:tcBorders>
                  <w:noWrap w:val="0"/>
                  <w:vAlign w:val="center"/>
                </w:tcPr>
                <w:p w14:paraId="5A4AC3E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氨氮</w:t>
                  </w:r>
                </w:p>
              </w:tc>
              <w:tc>
                <w:tcPr>
                  <w:tcW w:w="681" w:type="dxa"/>
                  <w:vMerge w:val="continue"/>
                  <w:tcBorders>
                    <w:bottom w:val="single" w:color="auto" w:sz="12" w:space="0"/>
                  </w:tcBorders>
                  <w:noWrap w:val="0"/>
                  <w:vAlign w:val="center"/>
                </w:tcPr>
                <w:p w14:paraId="688733B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69" w:type="dxa"/>
                  <w:tcBorders>
                    <w:bottom w:val="single" w:color="auto" w:sz="12" w:space="0"/>
                  </w:tcBorders>
                  <w:noWrap w:val="0"/>
                  <w:vAlign w:val="center"/>
                </w:tcPr>
                <w:p w14:paraId="19DE651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32.6</w:t>
                  </w:r>
                </w:p>
              </w:tc>
              <w:tc>
                <w:tcPr>
                  <w:tcW w:w="804" w:type="dxa"/>
                  <w:tcBorders>
                    <w:bottom w:val="single" w:color="auto" w:sz="12" w:space="0"/>
                  </w:tcBorders>
                  <w:noWrap w:val="0"/>
                  <w:vAlign w:val="center"/>
                </w:tcPr>
                <w:p w14:paraId="087E288F">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w:t>
                  </w:r>
                  <w:r>
                    <w:rPr>
                      <w:rFonts w:hint="eastAsia" w:cs="Times New Roman"/>
                      <w:color w:val="000000"/>
                      <w:sz w:val="18"/>
                      <w:szCs w:val="18"/>
                      <w:highlight w:val="none"/>
                      <w:vertAlign w:val="baseline"/>
                      <w:lang w:val="en-US" w:eastAsia="zh-CN"/>
                    </w:rPr>
                    <w:t>70</w:t>
                  </w:r>
                </w:p>
              </w:tc>
              <w:tc>
                <w:tcPr>
                  <w:tcW w:w="941" w:type="dxa"/>
                  <w:tcBorders>
                    <w:bottom w:val="single" w:color="auto" w:sz="12" w:space="0"/>
                  </w:tcBorders>
                  <w:noWrap w:val="0"/>
                  <w:vAlign w:val="center"/>
                </w:tcPr>
                <w:p w14:paraId="4AD01670">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w:t>
                  </w:r>
                </w:p>
              </w:tc>
              <w:tc>
                <w:tcPr>
                  <w:tcW w:w="736" w:type="dxa"/>
                  <w:tcBorders>
                    <w:bottom w:val="single" w:color="auto" w:sz="12" w:space="0"/>
                  </w:tcBorders>
                  <w:noWrap w:val="0"/>
                  <w:vAlign w:val="center"/>
                </w:tcPr>
                <w:p w14:paraId="39CAA197">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w:t>
                  </w:r>
                  <w:r>
                    <w:rPr>
                      <w:rFonts w:hint="eastAsia" w:cs="Times New Roman"/>
                      <w:color w:val="000000"/>
                      <w:sz w:val="18"/>
                      <w:szCs w:val="18"/>
                      <w:highlight w:val="none"/>
                      <w:vertAlign w:val="baseline"/>
                      <w:lang w:val="en-US" w:eastAsia="zh-CN"/>
                    </w:rPr>
                    <w:t>11</w:t>
                  </w:r>
                </w:p>
              </w:tc>
              <w:tc>
                <w:tcPr>
                  <w:tcW w:w="887" w:type="dxa"/>
                  <w:tcBorders>
                    <w:bottom w:val="single" w:color="auto" w:sz="12" w:space="0"/>
                  </w:tcBorders>
                  <w:noWrap w:val="0"/>
                  <w:vAlign w:val="center"/>
                </w:tcPr>
                <w:p w14:paraId="0969FA6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w:t>
                  </w:r>
                </w:p>
              </w:tc>
              <w:tc>
                <w:tcPr>
                  <w:tcW w:w="968" w:type="dxa"/>
                  <w:vMerge w:val="continue"/>
                  <w:tcBorders>
                    <w:bottom w:val="single" w:color="auto" w:sz="12" w:space="0"/>
                  </w:tcBorders>
                  <w:noWrap w:val="0"/>
                  <w:vAlign w:val="center"/>
                </w:tcPr>
                <w:p w14:paraId="08762532">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551" w:type="dxa"/>
                  <w:tcBorders>
                    <w:bottom w:val="single" w:color="auto" w:sz="12" w:space="0"/>
                    <w:right w:val="nil"/>
                  </w:tcBorders>
                  <w:noWrap w:val="0"/>
                  <w:vAlign w:val="center"/>
                </w:tcPr>
                <w:p w14:paraId="7981E452">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
                    </w:rPr>
                  </w:pPr>
                  <w:r>
                    <w:rPr>
                      <w:rFonts w:hint="eastAsia" w:ascii="Times New Roman" w:hAnsi="Times New Roman" w:eastAsia="宋体" w:cs="Times New Roman"/>
                      <w:color w:val="000000"/>
                      <w:sz w:val="18"/>
                      <w:szCs w:val="18"/>
                      <w:highlight w:val="none"/>
                      <w:vertAlign w:val="baseline"/>
                      <w:lang w:eastAsia="zh-CN"/>
                    </w:rPr>
                    <w:t>是</w:t>
                  </w:r>
                </w:p>
              </w:tc>
            </w:tr>
          </w:tbl>
          <w:p w14:paraId="47B74A1B">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2</w:t>
            </w:r>
            <w:r>
              <w:rPr>
                <w:rFonts w:hint="eastAsia" w:ascii="Times New Roman" w:hAnsi="Times New Roman" w:eastAsia="宋体" w:cs="Times New Roman"/>
                <w:color w:val="000000"/>
                <w:sz w:val="24"/>
                <w:highlight w:val="none"/>
                <w:lang w:eastAsia="zh-CN"/>
              </w:rPr>
              <w:t>）生产废水</w:t>
            </w:r>
          </w:p>
          <w:p w14:paraId="220FF09B">
            <w:pPr>
              <w:pStyle w:val="81"/>
              <w:keepNext w:val="0"/>
              <w:keepLines w:val="0"/>
              <w:pageBreakBefore w:val="0"/>
              <w:widowControl/>
              <w:kinsoku/>
              <w:wordWrap/>
              <w:overflowPunct/>
              <w:topLinePunct w:val="0"/>
              <w:autoSpaceDE/>
              <w:autoSpaceDN/>
              <w:bidi w:val="0"/>
              <w:adjustRightInd/>
              <w:snapToGrid/>
              <w:spacing w:before="0" w:line="360" w:lineRule="auto"/>
              <w:ind w:firstLine="480" w:firstLineChars="200"/>
              <w:jc w:val="both"/>
              <w:textAlignment w:val="auto"/>
              <w:rPr>
                <w:rFonts w:hint="eastAsia" w:ascii="Times New Roman" w:hAnsi="Times New Roman" w:eastAsia="宋体" w:cs="Times New Roman"/>
                <w:color w:val="000000"/>
                <w:sz w:val="24"/>
                <w:highlight w:val="none"/>
                <w:lang w:val="en-US" w:eastAsia="zh-CN"/>
              </w:rPr>
            </w:pPr>
            <w:r>
              <w:rPr>
                <w:rFonts w:hint="eastAsia" w:cs="Times New Roman"/>
                <w:color w:val="000000"/>
                <w:sz w:val="24"/>
                <w:highlight w:val="none"/>
                <w:lang w:eastAsia="zh-CN"/>
              </w:rPr>
              <w:t>项目生产用水主要为调浆用水及清洗废水，根据建设单位提供资料，项目调浆平均用水量为</w:t>
            </w:r>
            <w:r>
              <w:rPr>
                <w:rFonts w:hint="eastAsia" w:cs="Times New Roman"/>
                <w:color w:val="000000"/>
                <w:sz w:val="24"/>
                <w:highlight w:val="none"/>
                <w:lang w:val="en-US" w:eastAsia="zh-CN"/>
              </w:rPr>
              <w:t>2.5m</w:t>
            </w:r>
            <w:r>
              <w:rPr>
                <w:rFonts w:hint="eastAsia" w:cs="Times New Roman"/>
                <w:color w:val="000000"/>
                <w:sz w:val="24"/>
                <w:highlight w:val="none"/>
                <w:vertAlign w:val="superscript"/>
                <w:lang w:val="en-US" w:eastAsia="zh-CN"/>
              </w:rPr>
              <w:t>3</w:t>
            </w:r>
            <w:r>
              <w:rPr>
                <w:rFonts w:hint="eastAsia" w:cs="Times New Roman"/>
                <w:color w:val="000000"/>
                <w:sz w:val="24"/>
                <w:highlight w:val="none"/>
                <w:lang w:val="en-US" w:eastAsia="zh-CN"/>
              </w:rPr>
              <w:t>/d（750t/a），这部分水混合在原料中，自然蒸发不外排，清洗废水主要来源于印花桌、印花网框的冲洗废水及胶浆的塑料筒的清洗废水。根据建设单位提供的资料，清洗用水平均用水量约为3m</w:t>
            </w:r>
            <w:r>
              <w:rPr>
                <w:rFonts w:hint="eastAsia" w:cs="Times New Roman"/>
                <w:color w:val="000000"/>
                <w:sz w:val="24"/>
                <w:highlight w:val="none"/>
                <w:vertAlign w:val="superscript"/>
                <w:lang w:val="en-US" w:eastAsia="zh-CN"/>
              </w:rPr>
              <w:t>3</w:t>
            </w:r>
            <w:r>
              <w:rPr>
                <w:rFonts w:hint="eastAsia" w:cs="Times New Roman"/>
                <w:color w:val="000000"/>
                <w:sz w:val="24"/>
                <w:highlight w:val="none"/>
                <w:lang w:val="en-US" w:eastAsia="zh-CN"/>
              </w:rPr>
              <w:t>/d（900t/a）</w:t>
            </w:r>
            <w:r>
              <w:rPr>
                <w:rFonts w:hint="eastAsia" w:ascii="Times New Roman" w:hAnsi="Times New Roman" w:eastAsia="宋体" w:cs="Times New Roman"/>
                <w:color w:val="000000"/>
                <w:sz w:val="24"/>
                <w:highlight w:val="none"/>
                <w:lang w:eastAsia="zh-CN"/>
              </w:rPr>
              <w:t>，</w:t>
            </w:r>
            <w:r>
              <w:rPr>
                <w:rFonts w:hint="eastAsia" w:cs="Times New Roman"/>
                <w:color w:val="000000"/>
                <w:sz w:val="24"/>
                <w:highlight w:val="none"/>
                <w:lang w:eastAsia="zh-CN"/>
              </w:rPr>
              <w:t>排污系数以</w:t>
            </w:r>
            <w:r>
              <w:rPr>
                <w:rFonts w:hint="eastAsia" w:cs="Times New Roman"/>
                <w:color w:val="000000"/>
                <w:sz w:val="24"/>
                <w:highlight w:val="none"/>
                <w:lang w:val="en-US" w:eastAsia="zh-CN"/>
              </w:rPr>
              <w:t>0.9计，则其排水量为2.7m</w:t>
            </w:r>
            <w:r>
              <w:rPr>
                <w:rFonts w:hint="eastAsia" w:cs="Times New Roman"/>
                <w:color w:val="000000"/>
                <w:sz w:val="24"/>
                <w:highlight w:val="none"/>
                <w:vertAlign w:val="superscript"/>
                <w:lang w:val="en-US" w:eastAsia="zh-CN"/>
              </w:rPr>
              <w:t>3</w:t>
            </w:r>
            <w:r>
              <w:rPr>
                <w:rFonts w:hint="eastAsia" w:cs="Times New Roman"/>
                <w:color w:val="000000"/>
                <w:sz w:val="24"/>
                <w:highlight w:val="none"/>
                <w:lang w:val="en-US" w:eastAsia="zh-CN"/>
              </w:rPr>
              <w:t>/d（810t/a）。</w:t>
            </w:r>
            <w:r>
              <w:rPr>
                <w:rFonts w:hint="eastAsia" w:ascii="Times New Roman" w:hAnsi="Times New Roman" w:eastAsia="宋体" w:cs="Times New Roman"/>
                <w:b w:val="0"/>
                <w:bCs w:val="0"/>
                <w:color w:val="000000"/>
                <w:sz w:val="24"/>
                <w:highlight w:val="none"/>
                <w:lang w:val="en-US" w:eastAsia="zh-CN"/>
              </w:rPr>
              <w:t>这部分废水含有悬浮物、胶浆、固浆及少量水性颜料等，主要污染物为SS、COD、BOD</w:t>
            </w:r>
            <w:r>
              <w:rPr>
                <w:rFonts w:hint="eastAsia" w:ascii="Times New Roman" w:hAnsi="Times New Roman" w:eastAsia="宋体" w:cs="Times New Roman"/>
                <w:b w:val="0"/>
                <w:bCs w:val="0"/>
                <w:color w:val="000000"/>
                <w:sz w:val="24"/>
                <w:highlight w:val="none"/>
                <w:vertAlign w:val="subscript"/>
                <w:lang w:val="en-US" w:eastAsia="zh-CN"/>
              </w:rPr>
              <w:t>5</w:t>
            </w:r>
            <w:r>
              <w:rPr>
                <w:rFonts w:hint="eastAsia" w:ascii="Times New Roman" w:hAnsi="Times New Roman" w:eastAsia="宋体" w:cs="Times New Roman"/>
                <w:b w:val="0"/>
                <w:bCs w:val="0"/>
                <w:color w:val="000000"/>
                <w:sz w:val="24"/>
                <w:highlight w:val="none"/>
                <w:lang w:val="en-US" w:eastAsia="zh-CN"/>
              </w:rPr>
              <w:t>、色度等。根据</w:t>
            </w:r>
            <w:r>
              <w:rPr>
                <w:rFonts w:hint="eastAsia" w:cs="Times New Roman"/>
                <w:b w:val="0"/>
                <w:bCs w:val="0"/>
                <w:color w:val="000000"/>
                <w:sz w:val="24"/>
                <w:highlight w:val="none"/>
                <w:lang w:val="en-US" w:eastAsia="zh-CN"/>
              </w:rPr>
              <w:t>《泉州隆泰服装印花有限公司迁扩建项目环境影响报告表》以及《泉州隆泰服装印花有限公司迁扩建项目竣工环境保护验收监测表》，</w:t>
            </w:r>
            <w:r>
              <w:rPr>
                <w:rFonts w:hint="eastAsia" w:ascii="Times New Roman" w:hAnsi="Times New Roman" w:eastAsia="宋体" w:cs="Times New Roman"/>
                <w:b w:val="0"/>
                <w:bCs w:val="0"/>
                <w:color w:val="000000"/>
                <w:sz w:val="24"/>
                <w:highlight w:val="none"/>
                <w:lang w:val="en-US" w:eastAsia="zh-CN"/>
              </w:rPr>
              <w:t>这部分废水水质大致为</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pH</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6.78~6.86</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SS</w:t>
            </w:r>
            <w:r>
              <w:rPr>
                <w:rFonts w:hint="eastAsia" w:cs="Times New Roman"/>
                <w:b w:val="0"/>
                <w:bCs w:val="0"/>
                <w:color w:val="000000"/>
                <w:sz w:val="24"/>
                <w:highlight w:val="none"/>
                <w:lang w:val="en-US" w:eastAsia="zh-CN"/>
              </w:rPr>
              <w:t>：78~95</w:t>
            </w:r>
            <w:r>
              <w:rPr>
                <w:rFonts w:hint="eastAsia" w:ascii="Times New Roman" w:hAnsi="Times New Roman" w:eastAsia="宋体" w:cs="Times New Roman"/>
                <w:b w:val="0"/>
                <w:bCs w:val="0"/>
                <w:color w:val="000000"/>
                <w:sz w:val="24"/>
                <w:highlight w:val="none"/>
                <w:lang w:val="en-US" w:eastAsia="zh-CN"/>
              </w:rPr>
              <w:t>mg</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L</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COD</w:t>
            </w:r>
            <w:r>
              <w:rPr>
                <w:rFonts w:hint="eastAsia" w:cs="Times New Roman"/>
                <w:b w:val="0"/>
                <w:bCs w:val="0"/>
                <w:color w:val="000000"/>
                <w:sz w:val="24"/>
                <w:highlight w:val="none"/>
                <w:lang w:val="en-US" w:eastAsia="zh-CN"/>
              </w:rPr>
              <w:t>：304~352</w:t>
            </w:r>
            <w:r>
              <w:rPr>
                <w:rFonts w:hint="eastAsia" w:ascii="Times New Roman" w:hAnsi="Times New Roman" w:eastAsia="宋体" w:cs="Times New Roman"/>
                <w:b w:val="0"/>
                <w:bCs w:val="0"/>
                <w:color w:val="000000"/>
                <w:sz w:val="24"/>
                <w:highlight w:val="none"/>
                <w:lang w:val="en-US" w:eastAsia="zh-CN"/>
              </w:rPr>
              <w:t>mg</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L</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BOD</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380mgL</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NH</w:t>
            </w:r>
            <w:r>
              <w:rPr>
                <w:rFonts w:hint="eastAsia" w:cs="Times New Roman"/>
                <w:b w:val="0"/>
                <w:bCs w:val="0"/>
                <w:color w:val="000000"/>
                <w:sz w:val="24"/>
                <w:highlight w:val="none"/>
                <w:vertAlign w:val="subscript"/>
                <w:lang w:val="en-US" w:eastAsia="zh-CN"/>
              </w:rPr>
              <w:t>3</w:t>
            </w:r>
            <w:r>
              <w:rPr>
                <w:rFonts w:hint="eastAsia" w:ascii="Times New Roman" w:hAnsi="Times New Roman" w:eastAsia="宋体" w:cs="Times New Roman"/>
                <w:b w:val="0"/>
                <w:bCs w:val="0"/>
                <w:color w:val="000000"/>
                <w:sz w:val="24"/>
                <w:highlight w:val="none"/>
                <w:lang w:val="en-US" w:eastAsia="zh-CN"/>
              </w:rPr>
              <w:t>-N</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48.1</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100mg</w:t>
            </w:r>
            <w:r>
              <w:rPr>
                <w:rFonts w:hint="eastAsia" w:cs="Times New Roman"/>
                <w:b w:val="0"/>
                <w:bCs w:val="0"/>
                <w:color w:val="000000"/>
                <w:sz w:val="24"/>
                <w:highlight w:val="none"/>
                <w:lang w:val="en-US" w:eastAsia="zh-CN"/>
              </w:rPr>
              <w:t>/L；</w:t>
            </w:r>
            <w:r>
              <w:rPr>
                <w:rFonts w:hint="eastAsia" w:ascii="Times New Roman" w:hAnsi="Times New Roman" w:eastAsia="宋体" w:cs="Times New Roman"/>
                <w:b w:val="0"/>
                <w:bCs w:val="0"/>
                <w:color w:val="000000"/>
                <w:sz w:val="24"/>
                <w:highlight w:val="none"/>
                <w:lang w:val="en-US" w:eastAsia="zh-CN"/>
              </w:rPr>
              <w:t>色度</w:t>
            </w:r>
            <w:r>
              <w:rPr>
                <w:rFonts w:hint="eastAsia" w:cs="Times New Roman"/>
                <w:b w:val="0"/>
                <w:bCs w:val="0"/>
                <w:color w:val="000000"/>
                <w:sz w:val="24"/>
                <w:highlight w:val="none"/>
                <w:lang w:val="en-US" w:eastAsia="zh-CN"/>
              </w:rPr>
              <w:t>：1</w:t>
            </w:r>
            <w:r>
              <w:rPr>
                <w:rFonts w:hint="eastAsia" w:ascii="Times New Roman" w:hAnsi="Times New Roman" w:eastAsia="宋体" w:cs="Times New Roman"/>
                <w:b w:val="0"/>
                <w:bCs w:val="0"/>
                <w:color w:val="000000"/>
                <w:sz w:val="24"/>
                <w:highlight w:val="none"/>
                <w:lang w:val="en-US" w:eastAsia="zh-CN"/>
              </w:rPr>
              <w:t>000~4000倍</w:t>
            </w:r>
            <w:r>
              <w:rPr>
                <w:rFonts w:hint="eastAsia" w:cs="Times New Roman"/>
                <w:b w:val="0"/>
                <w:bCs w:val="0"/>
                <w:color w:val="000000"/>
                <w:sz w:val="24"/>
                <w:highlight w:val="none"/>
                <w:lang w:val="en-US" w:eastAsia="zh-CN"/>
              </w:rPr>
              <w:t>，</w:t>
            </w:r>
            <w:r>
              <w:rPr>
                <w:rFonts w:hint="eastAsia" w:ascii="Times New Roman" w:hAnsi="Times New Roman" w:eastAsia="宋体" w:cs="Times New Roman"/>
                <w:b w:val="0"/>
                <w:bCs w:val="0"/>
                <w:color w:val="000000"/>
                <w:sz w:val="24"/>
                <w:highlight w:val="none"/>
                <w:lang w:val="en-US" w:eastAsia="zh-CN"/>
              </w:rPr>
              <w:t>生产废水经建设的废水处理设施（处理能力为40t/d）处理后达标排放。</w:t>
            </w:r>
          </w:p>
          <w:p w14:paraId="47E4ED2B">
            <w:pPr>
              <w:pStyle w:val="81"/>
              <w:keepNext w:val="0"/>
              <w:keepLines w:val="0"/>
              <w:pageBreakBefore w:val="0"/>
              <w:widowControl/>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b w:val="0"/>
                <w:bCs w:val="0"/>
                <w:color w:val="000000"/>
                <w:sz w:val="24"/>
                <w:highlight w:val="none"/>
                <w:lang w:val="en-US" w:eastAsia="zh-CN"/>
              </w:rPr>
            </w:pPr>
            <w:r>
              <w:rPr>
                <w:rFonts w:hint="default" w:ascii="Times New Roman" w:hAnsi="Times New Roman" w:eastAsia="宋体" w:cs="Times New Roman"/>
                <w:b w:val="0"/>
                <w:bCs w:val="0"/>
                <w:color w:val="000000"/>
                <w:sz w:val="24"/>
                <w:highlight w:val="none"/>
                <w:lang w:val="en-US" w:eastAsia="zh-CN"/>
              </w:rPr>
              <w:t>项目生产废水拟经废水处理设施处理符合GB8978-1996《污水综合排放标准》表</w:t>
            </w:r>
            <w:r>
              <w:rPr>
                <w:rFonts w:hint="eastAsia" w:ascii="Times New Roman" w:hAnsi="Times New Roman" w:eastAsia="宋体" w:cs="Times New Roman"/>
                <w:b w:val="0"/>
                <w:bCs w:val="0"/>
                <w:color w:val="000000"/>
                <w:sz w:val="24"/>
                <w:highlight w:val="none"/>
                <w:lang w:val="en-US" w:eastAsia="zh-CN"/>
              </w:rPr>
              <w:t>4</w:t>
            </w:r>
            <w:r>
              <w:rPr>
                <w:rFonts w:hint="default" w:ascii="Times New Roman" w:hAnsi="Times New Roman" w:eastAsia="宋体" w:cs="Times New Roman"/>
                <w:b w:val="0"/>
                <w:bCs w:val="0"/>
                <w:color w:val="000000"/>
                <w:sz w:val="24"/>
                <w:highlight w:val="none"/>
                <w:lang w:val="en-US" w:eastAsia="zh-CN"/>
              </w:rPr>
              <w:t>三级标准和GBIT31962-2015《污水排入城市下水道水质标准》B等级标准后排入晋江市仙石污水处理厂统一处理，经污水处理厂处理达 GB18918-2002《城镇污水处理厂污染物排放标准》表</w:t>
            </w:r>
            <w:r>
              <w:rPr>
                <w:rFonts w:hint="eastAsia" w:ascii="Times New Roman" w:hAnsi="Times New Roman" w:eastAsia="宋体" w:cs="Times New Roman"/>
                <w:b w:val="0"/>
                <w:bCs w:val="0"/>
                <w:color w:val="000000"/>
                <w:sz w:val="24"/>
                <w:highlight w:val="none"/>
                <w:lang w:val="en-US" w:eastAsia="zh-CN"/>
              </w:rPr>
              <w:t>1</w:t>
            </w:r>
            <w:r>
              <w:rPr>
                <w:rFonts w:hint="default" w:ascii="Times New Roman" w:hAnsi="Times New Roman" w:eastAsia="宋体" w:cs="Times New Roman"/>
                <w:b w:val="0"/>
                <w:bCs w:val="0"/>
                <w:color w:val="000000"/>
                <w:sz w:val="24"/>
                <w:highlight w:val="none"/>
                <w:lang w:val="en-US" w:eastAsia="zh-CN"/>
              </w:rPr>
              <w:t>一级A 标准后排放。</w:t>
            </w:r>
          </w:p>
          <w:p w14:paraId="107A1F5B">
            <w:pPr>
              <w:pStyle w:val="81"/>
              <w:keepNext w:val="0"/>
              <w:keepLines w:val="0"/>
              <w:pageBreakBefore w:val="0"/>
              <w:widowControl/>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eastAsia="宋体" w:cs="Times New Roman"/>
                <w:b w:val="0"/>
                <w:bCs w:val="0"/>
                <w:color w:val="000000"/>
                <w:sz w:val="24"/>
                <w:highlight w:val="none"/>
                <w:lang w:val="en-US" w:eastAsia="zh-CN"/>
              </w:rPr>
            </w:pPr>
            <w:r>
              <w:rPr>
                <w:rFonts w:hint="default" w:ascii="Times New Roman" w:hAnsi="Times New Roman" w:eastAsia="宋体" w:cs="Times New Roman"/>
                <w:b w:val="0"/>
                <w:bCs w:val="0"/>
                <w:color w:val="000000"/>
                <w:sz w:val="24"/>
                <w:highlight w:val="none"/>
                <w:lang w:val="en-US" w:eastAsia="zh-CN"/>
              </w:rPr>
              <w:t>项目生产</w:t>
            </w:r>
            <w:r>
              <w:rPr>
                <w:rFonts w:hint="eastAsia" w:cs="Times New Roman"/>
                <w:b w:val="0"/>
                <w:bCs w:val="0"/>
                <w:color w:val="000000"/>
                <w:sz w:val="24"/>
                <w:highlight w:val="none"/>
                <w:lang w:val="en-US" w:eastAsia="zh-CN"/>
              </w:rPr>
              <w:t>废</w:t>
            </w:r>
            <w:r>
              <w:rPr>
                <w:rFonts w:hint="default" w:ascii="Times New Roman" w:hAnsi="Times New Roman" w:eastAsia="宋体" w:cs="Times New Roman"/>
                <w:b w:val="0"/>
                <w:bCs w:val="0"/>
                <w:color w:val="000000"/>
                <w:sz w:val="24"/>
                <w:highlight w:val="none"/>
                <w:lang w:val="en-US" w:eastAsia="zh-CN"/>
              </w:rPr>
              <w:t>水源强及排放情况分析，详见下表:</w:t>
            </w:r>
          </w:p>
          <w:p w14:paraId="7E1644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表4-1</w:t>
            </w:r>
            <w:r>
              <w:rPr>
                <w:rFonts w:hint="eastAsia"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lang w:val="en-US" w:eastAsia="zh-CN"/>
              </w:rPr>
              <w:t>生产废水源强及排放情况表</w:t>
            </w:r>
          </w:p>
          <w:tbl>
            <w:tblPr>
              <w:tblStyle w:val="26"/>
              <w:tblW w:w="782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737"/>
              <w:gridCol w:w="681"/>
              <w:gridCol w:w="969"/>
              <w:gridCol w:w="804"/>
              <w:gridCol w:w="941"/>
              <w:gridCol w:w="905"/>
              <w:gridCol w:w="1268"/>
              <w:gridCol w:w="969"/>
            </w:tblGrid>
            <w:tr w14:paraId="11D1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dxa"/>
                  <w:tcBorders>
                    <w:top w:val="single" w:color="auto" w:sz="12" w:space="0"/>
                    <w:left w:val="nil"/>
                  </w:tcBorders>
                  <w:noWrap w:val="0"/>
                  <w:vAlign w:val="center"/>
                </w:tcPr>
                <w:p w14:paraId="73FE596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废水种类</w:t>
                  </w:r>
                </w:p>
              </w:tc>
              <w:tc>
                <w:tcPr>
                  <w:tcW w:w="737" w:type="dxa"/>
                  <w:tcBorders>
                    <w:top w:val="single" w:color="auto" w:sz="12" w:space="0"/>
                  </w:tcBorders>
                  <w:noWrap w:val="0"/>
                  <w:vAlign w:val="center"/>
                </w:tcPr>
                <w:p w14:paraId="09E0FF85">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主要污染物</w:t>
                  </w:r>
                </w:p>
              </w:tc>
              <w:tc>
                <w:tcPr>
                  <w:tcW w:w="681" w:type="dxa"/>
                  <w:tcBorders>
                    <w:top w:val="single" w:color="auto" w:sz="12" w:space="0"/>
                  </w:tcBorders>
                  <w:noWrap w:val="0"/>
                  <w:vAlign w:val="center"/>
                </w:tcPr>
                <w:p w14:paraId="3BBF2B7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水量</w:t>
                  </w:r>
                </w:p>
                <w:p w14:paraId="044296CC">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t/a</w:t>
                  </w:r>
                  <w:r>
                    <w:rPr>
                      <w:rFonts w:hint="eastAsia" w:ascii="Times New Roman" w:hAnsi="Times New Roman" w:eastAsia="宋体" w:cs="Times New Roman"/>
                      <w:color w:val="000000"/>
                      <w:sz w:val="18"/>
                      <w:szCs w:val="18"/>
                      <w:highlight w:val="none"/>
                      <w:vertAlign w:val="baseline"/>
                      <w:lang w:eastAsia="zh-CN"/>
                    </w:rPr>
                    <w:t>）</w:t>
                  </w:r>
                </w:p>
              </w:tc>
              <w:tc>
                <w:tcPr>
                  <w:tcW w:w="969" w:type="dxa"/>
                  <w:tcBorders>
                    <w:top w:val="single" w:color="auto" w:sz="12" w:space="0"/>
                  </w:tcBorders>
                  <w:noWrap w:val="0"/>
                  <w:vAlign w:val="center"/>
                </w:tcPr>
                <w:p w14:paraId="0551CCDA">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产生浓度</w:t>
                  </w:r>
                </w:p>
                <w:p w14:paraId="39B9804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mg/L</w:t>
                  </w:r>
                  <w:r>
                    <w:rPr>
                      <w:rFonts w:hint="eastAsia" w:ascii="Times New Roman" w:hAnsi="Times New Roman" w:eastAsia="宋体" w:cs="Times New Roman"/>
                      <w:color w:val="000000"/>
                      <w:sz w:val="18"/>
                      <w:szCs w:val="18"/>
                      <w:highlight w:val="none"/>
                      <w:vertAlign w:val="baseline"/>
                      <w:lang w:eastAsia="zh-CN"/>
                    </w:rPr>
                    <w:t>）</w:t>
                  </w:r>
                </w:p>
              </w:tc>
              <w:tc>
                <w:tcPr>
                  <w:tcW w:w="804" w:type="dxa"/>
                  <w:tcBorders>
                    <w:top w:val="single" w:color="auto" w:sz="12" w:space="0"/>
                  </w:tcBorders>
                  <w:noWrap w:val="0"/>
                  <w:vAlign w:val="center"/>
                </w:tcPr>
                <w:p w14:paraId="3545B70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产生量</w:t>
                  </w:r>
                </w:p>
                <w:p w14:paraId="619E1E3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t/a</w:t>
                  </w:r>
                  <w:r>
                    <w:rPr>
                      <w:rFonts w:hint="eastAsia" w:ascii="Times New Roman" w:hAnsi="Times New Roman" w:eastAsia="宋体" w:cs="Times New Roman"/>
                      <w:color w:val="000000"/>
                      <w:sz w:val="18"/>
                      <w:szCs w:val="18"/>
                      <w:highlight w:val="none"/>
                      <w:vertAlign w:val="baseline"/>
                      <w:lang w:eastAsia="zh-CN"/>
                    </w:rPr>
                    <w:t>）</w:t>
                  </w:r>
                </w:p>
              </w:tc>
              <w:tc>
                <w:tcPr>
                  <w:tcW w:w="941" w:type="dxa"/>
                  <w:tcBorders>
                    <w:top w:val="single" w:color="auto" w:sz="12" w:space="0"/>
                  </w:tcBorders>
                  <w:noWrap w:val="0"/>
                  <w:vAlign w:val="center"/>
                </w:tcPr>
                <w:p w14:paraId="189CEC34">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排放浓度</w:t>
                  </w:r>
                </w:p>
                <w:p w14:paraId="338E9CC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mg/L</w:t>
                  </w:r>
                  <w:r>
                    <w:rPr>
                      <w:rFonts w:hint="eastAsia" w:ascii="Times New Roman" w:hAnsi="Times New Roman" w:eastAsia="宋体" w:cs="Times New Roman"/>
                      <w:color w:val="000000"/>
                      <w:sz w:val="18"/>
                      <w:szCs w:val="18"/>
                      <w:highlight w:val="none"/>
                      <w:vertAlign w:val="baseline"/>
                      <w:lang w:eastAsia="zh-CN"/>
                    </w:rPr>
                    <w:t>）</w:t>
                  </w:r>
                </w:p>
              </w:tc>
              <w:tc>
                <w:tcPr>
                  <w:tcW w:w="905" w:type="dxa"/>
                  <w:tcBorders>
                    <w:top w:val="single" w:color="auto" w:sz="12" w:space="0"/>
                  </w:tcBorders>
                  <w:noWrap w:val="0"/>
                  <w:vAlign w:val="center"/>
                </w:tcPr>
                <w:p w14:paraId="79F3045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排放量（</w:t>
                  </w:r>
                  <w:r>
                    <w:rPr>
                      <w:rFonts w:hint="eastAsia" w:ascii="Times New Roman" w:hAnsi="Times New Roman" w:eastAsia="宋体" w:cs="Times New Roman"/>
                      <w:color w:val="000000"/>
                      <w:sz w:val="18"/>
                      <w:szCs w:val="18"/>
                      <w:highlight w:val="none"/>
                      <w:vertAlign w:val="baseline"/>
                      <w:lang w:val="en-US" w:eastAsia="zh-CN"/>
                    </w:rPr>
                    <w:t>t/a</w:t>
                  </w:r>
                  <w:r>
                    <w:rPr>
                      <w:rFonts w:hint="eastAsia" w:ascii="Times New Roman" w:hAnsi="Times New Roman" w:eastAsia="宋体" w:cs="Times New Roman"/>
                      <w:color w:val="000000"/>
                      <w:sz w:val="18"/>
                      <w:szCs w:val="18"/>
                      <w:highlight w:val="none"/>
                      <w:vertAlign w:val="baseline"/>
                      <w:lang w:eastAsia="zh-CN"/>
                    </w:rPr>
                    <w:t>）</w:t>
                  </w:r>
                </w:p>
              </w:tc>
              <w:tc>
                <w:tcPr>
                  <w:tcW w:w="1268" w:type="dxa"/>
                  <w:tcBorders>
                    <w:top w:val="single" w:color="auto" w:sz="12" w:space="0"/>
                  </w:tcBorders>
                  <w:noWrap w:val="0"/>
                  <w:vAlign w:val="center"/>
                </w:tcPr>
                <w:p w14:paraId="2B9071BC">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允许排放浓度（</w:t>
                  </w:r>
                  <w:r>
                    <w:rPr>
                      <w:rFonts w:hint="eastAsia" w:ascii="Times New Roman" w:hAnsi="Times New Roman" w:eastAsia="宋体" w:cs="Times New Roman"/>
                      <w:color w:val="000000"/>
                      <w:sz w:val="18"/>
                      <w:szCs w:val="18"/>
                      <w:highlight w:val="none"/>
                      <w:vertAlign w:val="baseline"/>
                      <w:lang w:val="en-US" w:eastAsia="zh-CN"/>
                    </w:rPr>
                    <w:t>mg/L</w:t>
                  </w:r>
                  <w:r>
                    <w:rPr>
                      <w:rFonts w:hint="eastAsia" w:ascii="Times New Roman" w:hAnsi="Times New Roman" w:eastAsia="宋体" w:cs="Times New Roman"/>
                      <w:color w:val="000000"/>
                      <w:sz w:val="18"/>
                      <w:szCs w:val="18"/>
                      <w:highlight w:val="none"/>
                      <w:vertAlign w:val="baseline"/>
                      <w:lang w:eastAsia="zh-CN"/>
                    </w:rPr>
                    <w:t>）</w:t>
                  </w:r>
                </w:p>
              </w:tc>
              <w:tc>
                <w:tcPr>
                  <w:tcW w:w="969" w:type="dxa"/>
                  <w:tcBorders>
                    <w:top w:val="single" w:color="auto" w:sz="12" w:space="0"/>
                    <w:right w:val="nil"/>
                  </w:tcBorders>
                  <w:noWrap w:val="0"/>
                  <w:vAlign w:val="center"/>
                </w:tcPr>
                <w:p w14:paraId="78389E3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排放去向</w:t>
                  </w:r>
                </w:p>
              </w:tc>
            </w:tr>
            <w:tr w14:paraId="6A6A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dxa"/>
                  <w:vMerge w:val="restart"/>
                  <w:tcBorders>
                    <w:left w:val="nil"/>
                  </w:tcBorders>
                  <w:noWrap w:val="0"/>
                  <w:vAlign w:val="center"/>
                </w:tcPr>
                <w:p w14:paraId="0A58FB50">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生产污水</w:t>
                  </w:r>
                </w:p>
              </w:tc>
              <w:tc>
                <w:tcPr>
                  <w:tcW w:w="737" w:type="dxa"/>
                  <w:noWrap w:val="0"/>
                  <w:vAlign w:val="center"/>
                </w:tcPr>
                <w:p w14:paraId="3EF8AFF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COD</w:t>
                  </w:r>
                </w:p>
              </w:tc>
              <w:tc>
                <w:tcPr>
                  <w:tcW w:w="681" w:type="dxa"/>
                  <w:vMerge w:val="restart"/>
                  <w:noWrap w:val="0"/>
                  <w:vAlign w:val="center"/>
                </w:tcPr>
                <w:p w14:paraId="494A3656">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810</w:t>
                  </w:r>
                </w:p>
              </w:tc>
              <w:tc>
                <w:tcPr>
                  <w:tcW w:w="969" w:type="dxa"/>
                  <w:noWrap w:val="0"/>
                  <w:vAlign w:val="center"/>
                </w:tcPr>
                <w:p w14:paraId="28FA92A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352</w:t>
                  </w:r>
                </w:p>
              </w:tc>
              <w:tc>
                <w:tcPr>
                  <w:tcW w:w="804" w:type="dxa"/>
                  <w:noWrap w:val="0"/>
                  <w:vAlign w:val="center"/>
                </w:tcPr>
                <w:p w14:paraId="33AEE70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w:t>
                  </w:r>
                  <w:r>
                    <w:rPr>
                      <w:rFonts w:hint="eastAsia" w:cs="Times New Roman"/>
                      <w:color w:val="000000"/>
                      <w:sz w:val="18"/>
                      <w:szCs w:val="18"/>
                      <w:highlight w:val="none"/>
                      <w:vertAlign w:val="baseline"/>
                      <w:lang w:val="en-US" w:eastAsia="zh-CN"/>
                    </w:rPr>
                    <w:t>28</w:t>
                  </w:r>
                </w:p>
              </w:tc>
              <w:tc>
                <w:tcPr>
                  <w:tcW w:w="941" w:type="dxa"/>
                  <w:noWrap w:val="0"/>
                  <w:vAlign w:val="center"/>
                </w:tcPr>
                <w:p w14:paraId="07B6256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50</w:t>
                  </w:r>
                </w:p>
              </w:tc>
              <w:tc>
                <w:tcPr>
                  <w:tcW w:w="905" w:type="dxa"/>
                  <w:noWrap w:val="0"/>
                  <w:vAlign w:val="center"/>
                </w:tcPr>
                <w:p w14:paraId="14340C3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w:t>
                  </w:r>
                  <w:r>
                    <w:rPr>
                      <w:rFonts w:hint="eastAsia" w:cs="Times New Roman"/>
                      <w:color w:val="000000"/>
                      <w:sz w:val="18"/>
                      <w:szCs w:val="18"/>
                      <w:highlight w:val="none"/>
                      <w:vertAlign w:val="baseline"/>
                      <w:lang w:val="en-US" w:eastAsia="zh-CN"/>
                    </w:rPr>
                    <w:t>41</w:t>
                  </w:r>
                </w:p>
              </w:tc>
              <w:tc>
                <w:tcPr>
                  <w:tcW w:w="1268" w:type="dxa"/>
                  <w:noWrap w:val="0"/>
                  <w:vAlign w:val="center"/>
                </w:tcPr>
                <w:p w14:paraId="395F8020">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50</w:t>
                  </w:r>
                </w:p>
              </w:tc>
              <w:tc>
                <w:tcPr>
                  <w:tcW w:w="969" w:type="dxa"/>
                  <w:vMerge w:val="restart"/>
                  <w:tcBorders>
                    <w:right w:val="nil"/>
                  </w:tcBorders>
                  <w:noWrap w:val="0"/>
                  <w:vAlign w:val="center"/>
                </w:tcPr>
                <w:p w14:paraId="3B2F77B0">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经厂区废水处理设施处理后排入市政管网</w:t>
                  </w:r>
                </w:p>
              </w:tc>
            </w:tr>
            <w:tr w14:paraId="47F7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dxa"/>
                  <w:vMerge w:val="continue"/>
                  <w:tcBorders>
                    <w:left w:val="nil"/>
                  </w:tcBorders>
                  <w:noWrap w:val="0"/>
                  <w:vAlign w:val="center"/>
                </w:tcPr>
                <w:p w14:paraId="229C1447">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737" w:type="dxa"/>
                  <w:noWrap w:val="0"/>
                  <w:vAlign w:val="center"/>
                </w:tcPr>
                <w:p w14:paraId="1C9A362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BOD</w:t>
                  </w:r>
                  <w:r>
                    <w:rPr>
                      <w:rFonts w:hint="eastAsia" w:ascii="Times New Roman" w:hAnsi="Times New Roman" w:eastAsia="宋体" w:cs="Times New Roman"/>
                      <w:color w:val="000000"/>
                      <w:sz w:val="18"/>
                      <w:szCs w:val="18"/>
                      <w:highlight w:val="none"/>
                      <w:vertAlign w:val="subscript"/>
                      <w:lang w:val="en-US" w:eastAsia="zh-CN"/>
                    </w:rPr>
                    <w:t>5</w:t>
                  </w:r>
                </w:p>
              </w:tc>
              <w:tc>
                <w:tcPr>
                  <w:tcW w:w="681" w:type="dxa"/>
                  <w:vMerge w:val="continue"/>
                  <w:noWrap w:val="0"/>
                  <w:vAlign w:val="center"/>
                </w:tcPr>
                <w:p w14:paraId="4ACD3A0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69" w:type="dxa"/>
                  <w:noWrap w:val="0"/>
                  <w:vAlign w:val="center"/>
                </w:tcPr>
                <w:p w14:paraId="2E6BD52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380</w:t>
                  </w:r>
                </w:p>
              </w:tc>
              <w:tc>
                <w:tcPr>
                  <w:tcW w:w="804" w:type="dxa"/>
                  <w:noWrap w:val="0"/>
                  <w:vAlign w:val="center"/>
                </w:tcPr>
                <w:p w14:paraId="2CDAE76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w:t>
                  </w:r>
                  <w:r>
                    <w:rPr>
                      <w:rFonts w:hint="eastAsia" w:cs="Times New Roman"/>
                      <w:color w:val="000000"/>
                      <w:sz w:val="18"/>
                      <w:szCs w:val="18"/>
                      <w:highlight w:val="none"/>
                      <w:vertAlign w:val="baseline"/>
                      <w:lang w:val="en-US" w:eastAsia="zh-CN"/>
                    </w:rPr>
                    <w:t>308</w:t>
                  </w:r>
                </w:p>
              </w:tc>
              <w:tc>
                <w:tcPr>
                  <w:tcW w:w="941" w:type="dxa"/>
                  <w:noWrap w:val="0"/>
                  <w:vAlign w:val="center"/>
                </w:tcPr>
                <w:p w14:paraId="4A87EFA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905" w:type="dxa"/>
                  <w:noWrap w:val="0"/>
                  <w:vAlign w:val="center"/>
                </w:tcPr>
                <w:p w14:paraId="1F4195E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0.00</w:t>
                  </w:r>
                  <w:r>
                    <w:rPr>
                      <w:rFonts w:hint="eastAsia" w:cs="Times New Roman"/>
                      <w:color w:val="000000"/>
                      <w:sz w:val="18"/>
                      <w:szCs w:val="18"/>
                      <w:highlight w:val="none"/>
                      <w:vertAlign w:val="baseline"/>
                      <w:lang w:val="en-US" w:eastAsia="zh-CN"/>
                    </w:rPr>
                    <w:t>8</w:t>
                  </w:r>
                </w:p>
              </w:tc>
              <w:tc>
                <w:tcPr>
                  <w:tcW w:w="1268" w:type="dxa"/>
                  <w:noWrap w:val="0"/>
                  <w:vAlign w:val="center"/>
                </w:tcPr>
                <w:p w14:paraId="2483AE4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969" w:type="dxa"/>
                  <w:vMerge w:val="continue"/>
                  <w:tcBorders>
                    <w:right w:val="nil"/>
                  </w:tcBorders>
                  <w:noWrap w:val="0"/>
                  <w:vAlign w:val="center"/>
                </w:tcPr>
                <w:p w14:paraId="68A8781E">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
                    </w:rPr>
                  </w:pPr>
                </w:p>
              </w:tc>
            </w:tr>
            <w:tr w14:paraId="2651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dxa"/>
                  <w:vMerge w:val="continue"/>
                  <w:tcBorders>
                    <w:left w:val="nil"/>
                  </w:tcBorders>
                  <w:noWrap w:val="0"/>
                  <w:vAlign w:val="center"/>
                </w:tcPr>
                <w:p w14:paraId="046EB817">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737" w:type="dxa"/>
                  <w:noWrap w:val="0"/>
                  <w:vAlign w:val="center"/>
                </w:tcPr>
                <w:p w14:paraId="32DCFFA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SS</w:t>
                  </w:r>
                </w:p>
              </w:tc>
              <w:tc>
                <w:tcPr>
                  <w:tcW w:w="681" w:type="dxa"/>
                  <w:vMerge w:val="continue"/>
                  <w:noWrap w:val="0"/>
                  <w:vAlign w:val="center"/>
                </w:tcPr>
                <w:p w14:paraId="0C18A17C">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69" w:type="dxa"/>
                  <w:noWrap w:val="0"/>
                  <w:vAlign w:val="center"/>
                </w:tcPr>
                <w:p w14:paraId="0E80E047">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95</w:t>
                  </w:r>
                </w:p>
              </w:tc>
              <w:tc>
                <w:tcPr>
                  <w:tcW w:w="804" w:type="dxa"/>
                  <w:noWrap w:val="0"/>
                  <w:vAlign w:val="center"/>
                </w:tcPr>
                <w:p w14:paraId="1E823B0A">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0.077</w:t>
                  </w:r>
                </w:p>
              </w:tc>
              <w:tc>
                <w:tcPr>
                  <w:tcW w:w="941" w:type="dxa"/>
                  <w:noWrap w:val="0"/>
                  <w:vAlign w:val="center"/>
                </w:tcPr>
                <w:p w14:paraId="0AB8AE72">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905" w:type="dxa"/>
                  <w:noWrap w:val="0"/>
                  <w:vAlign w:val="center"/>
                </w:tcPr>
                <w:p w14:paraId="5E2EE62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0.00</w:t>
                  </w:r>
                  <w:r>
                    <w:rPr>
                      <w:rFonts w:hint="eastAsia" w:cs="Times New Roman"/>
                      <w:color w:val="000000"/>
                      <w:sz w:val="18"/>
                      <w:szCs w:val="18"/>
                      <w:highlight w:val="none"/>
                      <w:vertAlign w:val="baseline"/>
                      <w:lang w:val="en-US" w:eastAsia="zh-CN"/>
                    </w:rPr>
                    <w:t>8</w:t>
                  </w:r>
                </w:p>
              </w:tc>
              <w:tc>
                <w:tcPr>
                  <w:tcW w:w="1268" w:type="dxa"/>
                  <w:noWrap w:val="0"/>
                  <w:vAlign w:val="center"/>
                </w:tcPr>
                <w:p w14:paraId="080BF15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969" w:type="dxa"/>
                  <w:vMerge w:val="continue"/>
                  <w:tcBorders>
                    <w:right w:val="nil"/>
                  </w:tcBorders>
                  <w:noWrap w:val="0"/>
                  <w:vAlign w:val="center"/>
                </w:tcPr>
                <w:p w14:paraId="44FA4C20">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
                    </w:rPr>
                  </w:pPr>
                </w:p>
              </w:tc>
            </w:tr>
            <w:tr w14:paraId="331A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dxa"/>
                  <w:vMerge w:val="continue"/>
                  <w:tcBorders>
                    <w:left w:val="nil"/>
                  </w:tcBorders>
                  <w:noWrap w:val="0"/>
                  <w:vAlign w:val="center"/>
                </w:tcPr>
                <w:p w14:paraId="001648F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737" w:type="dxa"/>
                  <w:noWrap w:val="0"/>
                  <w:vAlign w:val="center"/>
                </w:tcPr>
                <w:p w14:paraId="7B2CA542">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氨氮</w:t>
                  </w:r>
                </w:p>
              </w:tc>
              <w:tc>
                <w:tcPr>
                  <w:tcW w:w="681" w:type="dxa"/>
                  <w:vMerge w:val="continue"/>
                  <w:noWrap w:val="0"/>
                  <w:vAlign w:val="center"/>
                </w:tcPr>
                <w:p w14:paraId="0111ABE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69" w:type="dxa"/>
                  <w:noWrap w:val="0"/>
                  <w:vAlign w:val="center"/>
                </w:tcPr>
                <w:p w14:paraId="56233017">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100</w:t>
                  </w:r>
                </w:p>
              </w:tc>
              <w:tc>
                <w:tcPr>
                  <w:tcW w:w="804" w:type="dxa"/>
                  <w:noWrap w:val="0"/>
                  <w:vAlign w:val="center"/>
                </w:tcPr>
                <w:p w14:paraId="2794A9E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w:t>
                  </w:r>
                  <w:r>
                    <w:rPr>
                      <w:rFonts w:hint="eastAsia" w:cs="Times New Roman"/>
                      <w:color w:val="000000"/>
                      <w:sz w:val="18"/>
                      <w:szCs w:val="18"/>
                      <w:highlight w:val="none"/>
                      <w:vertAlign w:val="baseline"/>
                      <w:lang w:val="en-US" w:eastAsia="zh-CN"/>
                    </w:rPr>
                    <w:t>81</w:t>
                  </w:r>
                </w:p>
              </w:tc>
              <w:tc>
                <w:tcPr>
                  <w:tcW w:w="941" w:type="dxa"/>
                  <w:noWrap w:val="0"/>
                  <w:vAlign w:val="center"/>
                </w:tcPr>
                <w:p w14:paraId="71AF2D0C">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w:t>
                  </w:r>
                </w:p>
              </w:tc>
              <w:tc>
                <w:tcPr>
                  <w:tcW w:w="905" w:type="dxa"/>
                  <w:noWrap w:val="0"/>
                  <w:vAlign w:val="center"/>
                </w:tcPr>
                <w:p w14:paraId="21424F8A">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0.00</w:t>
                  </w:r>
                  <w:r>
                    <w:rPr>
                      <w:rFonts w:hint="eastAsia" w:cs="Times New Roman"/>
                      <w:color w:val="000000"/>
                      <w:sz w:val="18"/>
                      <w:szCs w:val="18"/>
                      <w:highlight w:val="none"/>
                      <w:vertAlign w:val="baseline"/>
                      <w:lang w:val="en-US" w:eastAsia="zh-CN"/>
                    </w:rPr>
                    <w:t>4</w:t>
                  </w:r>
                </w:p>
              </w:tc>
              <w:tc>
                <w:tcPr>
                  <w:tcW w:w="1268" w:type="dxa"/>
                  <w:noWrap w:val="0"/>
                  <w:vAlign w:val="center"/>
                </w:tcPr>
                <w:p w14:paraId="4D1D84BD">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w:t>
                  </w:r>
                </w:p>
              </w:tc>
              <w:tc>
                <w:tcPr>
                  <w:tcW w:w="969" w:type="dxa"/>
                  <w:vMerge w:val="continue"/>
                  <w:tcBorders>
                    <w:right w:val="nil"/>
                  </w:tcBorders>
                  <w:noWrap w:val="0"/>
                  <w:vAlign w:val="center"/>
                </w:tcPr>
                <w:p w14:paraId="4A23FBCD">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
                    </w:rPr>
                  </w:pPr>
                </w:p>
              </w:tc>
            </w:tr>
            <w:tr w14:paraId="6714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dxa"/>
                  <w:vMerge w:val="continue"/>
                  <w:tcBorders>
                    <w:left w:val="nil"/>
                    <w:bottom w:val="single" w:color="auto" w:sz="12" w:space="0"/>
                  </w:tcBorders>
                  <w:noWrap w:val="0"/>
                  <w:vAlign w:val="center"/>
                </w:tcPr>
                <w:p w14:paraId="0E9EA6B4">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737" w:type="dxa"/>
                  <w:tcBorders>
                    <w:bottom w:val="single" w:color="auto" w:sz="12" w:space="0"/>
                  </w:tcBorders>
                  <w:noWrap w:val="0"/>
                  <w:vAlign w:val="center"/>
                </w:tcPr>
                <w:p w14:paraId="61C8AEC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色度（倍）</w:t>
                  </w:r>
                </w:p>
              </w:tc>
              <w:tc>
                <w:tcPr>
                  <w:tcW w:w="681" w:type="dxa"/>
                  <w:vMerge w:val="continue"/>
                  <w:tcBorders>
                    <w:bottom w:val="single" w:color="auto" w:sz="12" w:space="0"/>
                  </w:tcBorders>
                  <w:noWrap w:val="0"/>
                  <w:vAlign w:val="center"/>
                </w:tcPr>
                <w:p w14:paraId="1F87EEB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69" w:type="dxa"/>
                  <w:tcBorders>
                    <w:bottom w:val="single" w:color="auto" w:sz="12" w:space="0"/>
                  </w:tcBorders>
                  <w:noWrap w:val="0"/>
                  <w:vAlign w:val="center"/>
                </w:tcPr>
                <w:p w14:paraId="085AAD97">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4000</w:t>
                  </w:r>
                </w:p>
              </w:tc>
              <w:tc>
                <w:tcPr>
                  <w:tcW w:w="804" w:type="dxa"/>
                  <w:tcBorders>
                    <w:bottom w:val="single" w:color="auto" w:sz="12" w:space="0"/>
                  </w:tcBorders>
                  <w:noWrap w:val="0"/>
                  <w:vAlign w:val="center"/>
                </w:tcPr>
                <w:p w14:paraId="23CC2F5F">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941" w:type="dxa"/>
                  <w:tcBorders>
                    <w:bottom w:val="single" w:color="auto" w:sz="12" w:space="0"/>
                  </w:tcBorders>
                  <w:noWrap w:val="0"/>
                  <w:vAlign w:val="center"/>
                </w:tcPr>
                <w:p w14:paraId="1313F432">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30</w:t>
                  </w:r>
                </w:p>
              </w:tc>
              <w:tc>
                <w:tcPr>
                  <w:tcW w:w="905" w:type="dxa"/>
                  <w:tcBorders>
                    <w:bottom w:val="single" w:color="auto" w:sz="12" w:space="0"/>
                  </w:tcBorders>
                  <w:noWrap w:val="0"/>
                  <w:vAlign w:val="center"/>
                </w:tcPr>
                <w:p w14:paraId="3858FBC2">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1268" w:type="dxa"/>
                  <w:tcBorders>
                    <w:bottom w:val="single" w:color="auto" w:sz="12" w:space="0"/>
                  </w:tcBorders>
                  <w:noWrap w:val="0"/>
                  <w:vAlign w:val="center"/>
                </w:tcPr>
                <w:p w14:paraId="5EC0E13C">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30</w:t>
                  </w:r>
                </w:p>
              </w:tc>
              <w:tc>
                <w:tcPr>
                  <w:tcW w:w="969" w:type="dxa"/>
                  <w:vMerge w:val="continue"/>
                  <w:tcBorders>
                    <w:bottom w:val="single" w:color="auto" w:sz="12" w:space="0"/>
                    <w:right w:val="nil"/>
                  </w:tcBorders>
                  <w:noWrap w:val="0"/>
                  <w:vAlign w:val="center"/>
                </w:tcPr>
                <w:p w14:paraId="5EFE1666">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p>
              </w:tc>
            </w:tr>
          </w:tbl>
          <w:p w14:paraId="13FD3B3E">
            <w:pPr>
              <w:pStyle w:val="81"/>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（3）综合废水排放情况</w:t>
            </w:r>
          </w:p>
          <w:p w14:paraId="50F47BAB">
            <w:pPr>
              <w:pStyle w:val="81"/>
              <w:keepNext w:val="0"/>
              <w:keepLines w:val="0"/>
              <w:pageBreakBefore w:val="0"/>
              <w:widowControl/>
              <w:kinsoku/>
              <w:wordWrap/>
              <w:overflowPunct/>
              <w:topLinePunct w:val="0"/>
              <w:autoSpaceDE/>
              <w:autoSpaceDN/>
              <w:bidi w:val="0"/>
              <w:adjustRightInd/>
              <w:snapToGrid/>
              <w:spacing w:before="0" w:line="360" w:lineRule="auto"/>
              <w:ind w:firstLine="480" w:firstLineChars="200"/>
              <w:jc w:val="both"/>
              <w:textAlignment w:val="auto"/>
              <w:rPr>
                <w:rFonts w:hint="eastAsia"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项目生活污水及生产废水最终混合后一起排放，综合废水排放情况见下表：</w:t>
            </w:r>
          </w:p>
          <w:p w14:paraId="75F605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表4-1</w:t>
            </w:r>
            <w:r>
              <w:rPr>
                <w:rFonts w:hint="eastAsia" w:cs="Times New Roman"/>
                <w:b/>
                <w:bCs/>
                <w:color w:val="000000"/>
                <w:sz w:val="24"/>
                <w:szCs w:val="24"/>
                <w:highlight w:val="none"/>
                <w:lang w:val="en-US" w:eastAsia="zh-CN"/>
              </w:rPr>
              <w:t>3</w:t>
            </w:r>
            <w:r>
              <w:rPr>
                <w:rFonts w:hint="eastAsia" w:ascii="Times New Roman" w:hAnsi="Times New Roman" w:eastAsia="宋体" w:cs="Times New Roman"/>
                <w:b/>
                <w:bCs/>
                <w:color w:val="000000"/>
                <w:sz w:val="24"/>
                <w:szCs w:val="24"/>
                <w:highlight w:val="none"/>
                <w:lang w:val="en-US" w:eastAsia="zh-CN"/>
              </w:rPr>
              <w:t xml:space="preserve"> 综合废水源强及排放情况表</w:t>
            </w:r>
          </w:p>
          <w:tbl>
            <w:tblPr>
              <w:tblStyle w:val="26"/>
              <w:tblW w:w="782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00"/>
              <w:gridCol w:w="750"/>
              <w:gridCol w:w="983"/>
              <w:gridCol w:w="817"/>
              <w:gridCol w:w="966"/>
              <w:gridCol w:w="784"/>
              <w:gridCol w:w="1072"/>
              <w:gridCol w:w="969"/>
            </w:tblGrid>
            <w:tr w14:paraId="45FE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dxa"/>
                  <w:tcBorders>
                    <w:top w:val="single" w:color="auto" w:sz="12" w:space="0"/>
                    <w:left w:val="nil"/>
                  </w:tcBorders>
                  <w:noWrap w:val="0"/>
                  <w:vAlign w:val="center"/>
                </w:tcPr>
                <w:p w14:paraId="3B2C87B2">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废水种类</w:t>
                  </w:r>
                </w:p>
              </w:tc>
              <w:tc>
                <w:tcPr>
                  <w:tcW w:w="700" w:type="dxa"/>
                  <w:tcBorders>
                    <w:top w:val="single" w:color="auto" w:sz="12" w:space="0"/>
                  </w:tcBorders>
                  <w:noWrap w:val="0"/>
                  <w:vAlign w:val="center"/>
                </w:tcPr>
                <w:p w14:paraId="733F9BB6">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主要污染物</w:t>
                  </w:r>
                </w:p>
              </w:tc>
              <w:tc>
                <w:tcPr>
                  <w:tcW w:w="750" w:type="dxa"/>
                  <w:tcBorders>
                    <w:top w:val="single" w:color="auto" w:sz="12" w:space="0"/>
                  </w:tcBorders>
                  <w:noWrap w:val="0"/>
                  <w:vAlign w:val="center"/>
                </w:tcPr>
                <w:p w14:paraId="3B88C85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水量</w:t>
                  </w:r>
                </w:p>
                <w:p w14:paraId="31B01E96">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t/a</w:t>
                  </w:r>
                  <w:r>
                    <w:rPr>
                      <w:rFonts w:hint="eastAsia" w:ascii="Times New Roman" w:hAnsi="Times New Roman" w:eastAsia="宋体" w:cs="Times New Roman"/>
                      <w:color w:val="000000"/>
                      <w:sz w:val="18"/>
                      <w:szCs w:val="18"/>
                      <w:highlight w:val="none"/>
                      <w:vertAlign w:val="baseline"/>
                      <w:lang w:eastAsia="zh-CN"/>
                    </w:rPr>
                    <w:t>）</w:t>
                  </w:r>
                </w:p>
              </w:tc>
              <w:tc>
                <w:tcPr>
                  <w:tcW w:w="983" w:type="dxa"/>
                  <w:tcBorders>
                    <w:top w:val="single" w:color="auto" w:sz="12" w:space="0"/>
                  </w:tcBorders>
                  <w:noWrap w:val="0"/>
                  <w:vAlign w:val="center"/>
                </w:tcPr>
                <w:p w14:paraId="672A24E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产生浓度</w:t>
                  </w:r>
                </w:p>
                <w:p w14:paraId="245BCF1D">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mg/L</w:t>
                  </w:r>
                  <w:r>
                    <w:rPr>
                      <w:rFonts w:hint="eastAsia" w:ascii="Times New Roman" w:hAnsi="Times New Roman" w:eastAsia="宋体" w:cs="Times New Roman"/>
                      <w:color w:val="000000"/>
                      <w:sz w:val="18"/>
                      <w:szCs w:val="18"/>
                      <w:highlight w:val="none"/>
                      <w:vertAlign w:val="baseline"/>
                      <w:lang w:eastAsia="zh-CN"/>
                    </w:rPr>
                    <w:t>）</w:t>
                  </w:r>
                </w:p>
              </w:tc>
              <w:tc>
                <w:tcPr>
                  <w:tcW w:w="817" w:type="dxa"/>
                  <w:tcBorders>
                    <w:top w:val="single" w:color="auto" w:sz="12" w:space="0"/>
                  </w:tcBorders>
                  <w:noWrap w:val="0"/>
                  <w:vAlign w:val="center"/>
                </w:tcPr>
                <w:p w14:paraId="73D82BCC">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产生量</w:t>
                  </w:r>
                </w:p>
                <w:p w14:paraId="23F2F90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t/a</w:t>
                  </w:r>
                  <w:r>
                    <w:rPr>
                      <w:rFonts w:hint="eastAsia" w:ascii="Times New Roman" w:hAnsi="Times New Roman" w:eastAsia="宋体" w:cs="Times New Roman"/>
                      <w:color w:val="000000"/>
                      <w:sz w:val="18"/>
                      <w:szCs w:val="18"/>
                      <w:highlight w:val="none"/>
                      <w:vertAlign w:val="baseline"/>
                      <w:lang w:eastAsia="zh-CN"/>
                    </w:rPr>
                    <w:t>）</w:t>
                  </w:r>
                </w:p>
              </w:tc>
              <w:tc>
                <w:tcPr>
                  <w:tcW w:w="966" w:type="dxa"/>
                  <w:tcBorders>
                    <w:top w:val="single" w:color="auto" w:sz="12" w:space="0"/>
                  </w:tcBorders>
                  <w:noWrap w:val="0"/>
                  <w:vAlign w:val="center"/>
                </w:tcPr>
                <w:p w14:paraId="23BD3D5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排放浓度</w:t>
                  </w:r>
                </w:p>
                <w:p w14:paraId="16103655">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mg/L</w:t>
                  </w:r>
                  <w:r>
                    <w:rPr>
                      <w:rFonts w:hint="eastAsia" w:ascii="Times New Roman" w:hAnsi="Times New Roman" w:eastAsia="宋体" w:cs="Times New Roman"/>
                      <w:color w:val="000000"/>
                      <w:sz w:val="18"/>
                      <w:szCs w:val="18"/>
                      <w:highlight w:val="none"/>
                      <w:vertAlign w:val="baseline"/>
                      <w:lang w:eastAsia="zh-CN"/>
                    </w:rPr>
                    <w:t>）</w:t>
                  </w:r>
                </w:p>
              </w:tc>
              <w:tc>
                <w:tcPr>
                  <w:tcW w:w="784" w:type="dxa"/>
                  <w:tcBorders>
                    <w:top w:val="single" w:color="auto" w:sz="12" w:space="0"/>
                  </w:tcBorders>
                  <w:noWrap w:val="0"/>
                  <w:vAlign w:val="center"/>
                </w:tcPr>
                <w:p w14:paraId="4463BD34">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排放量（</w:t>
                  </w:r>
                  <w:r>
                    <w:rPr>
                      <w:rFonts w:hint="eastAsia" w:ascii="Times New Roman" w:hAnsi="Times New Roman" w:eastAsia="宋体" w:cs="Times New Roman"/>
                      <w:color w:val="000000"/>
                      <w:sz w:val="18"/>
                      <w:szCs w:val="18"/>
                      <w:highlight w:val="none"/>
                      <w:vertAlign w:val="baseline"/>
                      <w:lang w:val="en-US" w:eastAsia="zh-CN"/>
                    </w:rPr>
                    <w:t>t/a</w:t>
                  </w:r>
                  <w:r>
                    <w:rPr>
                      <w:rFonts w:hint="eastAsia" w:ascii="Times New Roman" w:hAnsi="Times New Roman" w:eastAsia="宋体" w:cs="Times New Roman"/>
                      <w:color w:val="000000"/>
                      <w:sz w:val="18"/>
                      <w:szCs w:val="18"/>
                      <w:highlight w:val="none"/>
                      <w:vertAlign w:val="baseline"/>
                      <w:lang w:eastAsia="zh-CN"/>
                    </w:rPr>
                    <w:t>）</w:t>
                  </w:r>
                </w:p>
              </w:tc>
              <w:tc>
                <w:tcPr>
                  <w:tcW w:w="1072" w:type="dxa"/>
                  <w:tcBorders>
                    <w:top w:val="single" w:color="auto" w:sz="12" w:space="0"/>
                  </w:tcBorders>
                  <w:noWrap w:val="0"/>
                  <w:vAlign w:val="center"/>
                </w:tcPr>
                <w:p w14:paraId="4D407A66">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排放标准</w:t>
                  </w:r>
                </w:p>
                <w:p w14:paraId="16792747">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w:t>
                  </w:r>
                  <w:r>
                    <w:rPr>
                      <w:rFonts w:hint="eastAsia" w:ascii="Times New Roman" w:hAnsi="Times New Roman" w:eastAsia="宋体" w:cs="Times New Roman"/>
                      <w:color w:val="000000"/>
                      <w:sz w:val="18"/>
                      <w:szCs w:val="18"/>
                      <w:highlight w:val="none"/>
                      <w:vertAlign w:val="baseline"/>
                      <w:lang w:val="en-US" w:eastAsia="zh-CN"/>
                    </w:rPr>
                    <w:t>mg/L</w:t>
                  </w:r>
                  <w:r>
                    <w:rPr>
                      <w:rFonts w:hint="eastAsia" w:ascii="Times New Roman" w:hAnsi="Times New Roman" w:eastAsia="宋体" w:cs="Times New Roman"/>
                      <w:color w:val="000000"/>
                      <w:sz w:val="18"/>
                      <w:szCs w:val="18"/>
                      <w:highlight w:val="none"/>
                      <w:vertAlign w:val="baseline"/>
                      <w:lang w:eastAsia="zh-CN"/>
                    </w:rPr>
                    <w:t>）</w:t>
                  </w:r>
                </w:p>
              </w:tc>
              <w:tc>
                <w:tcPr>
                  <w:tcW w:w="969" w:type="dxa"/>
                  <w:tcBorders>
                    <w:top w:val="single" w:color="auto" w:sz="12" w:space="0"/>
                    <w:right w:val="nil"/>
                  </w:tcBorders>
                  <w:noWrap w:val="0"/>
                  <w:vAlign w:val="center"/>
                </w:tcPr>
                <w:p w14:paraId="0491C78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排放去向</w:t>
                  </w:r>
                </w:p>
              </w:tc>
            </w:tr>
            <w:tr w14:paraId="565C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dxa"/>
                  <w:vMerge w:val="restart"/>
                  <w:tcBorders>
                    <w:left w:val="nil"/>
                  </w:tcBorders>
                  <w:noWrap w:val="0"/>
                  <w:vAlign w:val="center"/>
                </w:tcPr>
                <w:p w14:paraId="093BF3F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综合污水</w:t>
                  </w:r>
                </w:p>
              </w:tc>
              <w:tc>
                <w:tcPr>
                  <w:tcW w:w="700" w:type="dxa"/>
                  <w:noWrap w:val="0"/>
                  <w:vAlign w:val="center"/>
                </w:tcPr>
                <w:p w14:paraId="33912020">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COD</w:t>
                  </w:r>
                </w:p>
              </w:tc>
              <w:tc>
                <w:tcPr>
                  <w:tcW w:w="750" w:type="dxa"/>
                  <w:vMerge w:val="restart"/>
                  <w:noWrap w:val="0"/>
                  <w:vAlign w:val="center"/>
                </w:tcPr>
                <w:p w14:paraId="1803636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2</w:t>
                  </w:r>
                  <w:r>
                    <w:rPr>
                      <w:rFonts w:hint="eastAsia" w:cs="Times New Roman"/>
                      <w:color w:val="000000"/>
                      <w:sz w:val="18"/>
                      <w:szCs w:val="18"/>
                      <w:highlight w:val="none"/>
                      <w:vertAlign w:val="baseline"/>
                      <w:lang w:val="en-US" w:eastAsia="zh-CN"/>
                    </w:rPr>
                    <w:t>970</w:t>
                  </w:r>
                </w:p>
              </w:tc>
              <w:tc>
                <w:tcPr>
                  <w:tcW w:w="983" w:type="dxa"/>
                  <w:noWrap w:val="0"/>
                  <w:vAlign w:val="center"/>
                </w:tcPr>
                <w:p w14:paraId="73CEB57F">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817" w:type="dxa"/>
                  <w:noWrap w:val="0"/>
                  <w:vAlign w:val="center"/>
                </w:tcPr>
                <w:p w14:paraId="1F6CFC52">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1.014</w:t>
                  </w:r>
                </w:p>
              </w:tc>
              <w:tc>
                <w:tcPr>
                  <w:tcW w:w="966" w:type="dxa"/>
                  <w:noWrap w:val="0"/>
                  <w:vAlign w:val="center"/>
                </w:tcPr>
                <w:p w14:paraId="4E8C9D4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50</w:t>
                  </w:r>
                </w:p>
              </w:tc>
              <w:tc>
                <w:tcPr>
                  <w:tcW w:w="784" w:type="dxa"/>
                  <w:noWrap w:val="0"/>
                  <w:vAlign w:val="center"/>
                </w:tcPr>
                <w:p w14:paraId="4AA711A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0.1</w:t>
                  </w:r>
                  <w:r>
                    <w:rPr>
                      <w:rFonts w:hint="eastAsia" w:cs="Times New Roman"/>
                      <w:color w:val="000000"/>
                      <w:sz w:val="18"/>
                      <w:szCs w:val="18"/>
                      <w:highlight w:val="none"/>
                      <w:vertAlign w:val="baseline"/>
                      <w:lang w:val="en-US" w:eastAsia="zh-CN"/>
                    </w:rPr>
                    <w:t>49</w:t>
                  </w:r>
                </w:p>
              </w:tc>
              <w:tc>
                <w:tcPr>
                  <w:tcW w:w="1072" w:type="dxa"/>
                  <w:noWrap w:val="0"/>
                  <w:vAlign w:val="center"/>
                </w:tcPr>
                <w:p w14:paraId="690C1F2A">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50</w:t>
                  </w:r>
                </w:p>
              </w:tc>
              <w:tc>
                <w:tcPr>
                  <w:tcW w:w="969" w:type="dxa"/>
                  <w:vMerge w:val="restart"/>
                  <w:tcBorders>
                    <w:right w:val="nil"/>
                  </w:tcBorders>
                  <w:noWrap w:val="0"/>
                  <w:vAlign w:val="center"/>
                </w:tcPr>
                <w:p w14:paraId="3C09745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经预处理后排入市政管网</w:t>
                  </w:r>
                </w:p>
              </w:tc>
            </w:tr>
            <w:tr w14:paraId="5A42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dxa"/>
                  <w:vMerge w:val="continue"/>
                  <w:tcBorders>
                    <w:left w:val="nil"/>
                  </w:tcBorders>
                  <w:noWrap w:val="0"/>
                  <w:vAlign w:val="center"/>
                </w:tcPr>
                <w:p w14:paraId="089BB21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700" w:type="dxa"/>
                  <w:noWrap w:val="0"/>
                  <w:vAlign w:val="center"/>
                </w:tcPr>
                <w:p w14:paraId="02C8235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BOD</w:t>
                  </w:r>
                  <w:r>
                    <w:rPr>
                      <w:rFonts w:hint="eastAsia" w:ascii="Times New Roman" w:hAnsi="Times New Roman" w:eastAsia="宋体" w:cs="Times New Roman"/>
                      <w:color w:val="000000"/>
                      <w:sz w:val="18"/>
                      <w:szCs w:val="18"/>
                      <w:highlight w:val="none"/>
                      <w:vertAlign w:val="subscript"/>
                      <w:lang w:val="en-US" w:eastAsia="zh-CN"/>
                    </w:rPr>
                    <w:t>5</w:t>
                  </w:r>
                </w:p>
              </w:tc>
              <w:tc>
                <w:tcPr>
                  <w:tcW w:w="750" w:type="dxa"/>
                  <w:vMerge w:val="continue"/>
                  <w:noWrap w:val="0"/>
                  <w:vAlign w:val="center"/>
                </w:tcPr>
                <w:p w14:paraId="27FAFAE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83" w:type="dxa"/>
                  <w:noWrap w:val="0"/>
                  <w:vAlign w:val="center"/>
                </w:tcPr>
                <w:p w14:paraId="0C66AE4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817" w:type="dxa"/>
                  <w:noWrap w:val="0"/>
                  <w:vAlign w:val="center"/>
                </w:tcPr>
                <w:p w14:paraId="2ED0B4F6">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w:t>
                  </w:r>
                  <w:r>
                    <w:rPr>
                      <w:rFonts w:hint="eastAsia" w:cs="Times New Roman"/>
                      <w:color w:val="000000"/>
                      <w:sz w:val="18"/>
                      <w:szCs w:val="18"/>
                      <w:highlight w:val="none"/>
                      <w:vertAlign w:val="baseline"/>
                      <w:lang w:val="en-US" w:eastAsia="zh-CN"/>
                    </w:rPr>
                    <w:t>848</w:t>
                  </w:r>
                </w:p>
              </w:tc>
              <w:tc>
                <w:tcPr>
                  <w:tcW w:w="966" w:type="dxa"/>
                  <w:noWrap w:val="0"/>
                  <w:vAlign w:val="center"/>
                </w:tcPr>
                <w:p w14:paraId="377B9CB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784" w:type="dxa"/>
                  <w:noWrap w:val="0"/>
                  <w:vAlign w:val="center"/>
                </w:tcPr>
                <w:p w14:paraId="74A784DC">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w:t>
                  </w:r>
                  <w:r>
                    <w:rPr>
                      <w:rFonts w:hint="eastAsia" w:cs="Times New Roman"/>
                      <w:color w:val="000000"/>
                      <w:sz w:val="18"/>
                      <w:szCs w:val="18"/>
                      <w:highlight w:val="none"/>
                      <w:vertAlign w:val="baseline"/>
                      <w:lang w:val="en-US" w:eastAsia="zh-CN"/>
                    </w:rPr>
                    <w:t>030</w:t>
                  </w:r>
                </w:p>
              </w:tc>
              <w:tc>
                <w:tcPr>
                  <w:tcW w:w="1072" w:type="dxa"/>
                  <w:noWrap w:val="0"/>
                  <w:vAlign w:val="center"/>
                </w:tcPr>
                <w:p w14:paraId="3023EC10">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969" w:type="dxa"/>
                  <w:vMerge w:val="continue"/>
                  <w:tcBorders>
                    <w:right w:val="nil"/>
                  </w:tcBorders>
                  <w:noWrap w:val="0"/>
                  <w:vAlign w:val="center"/>
                </w:tcPr>
                <w:p w14:paraId="6B730F04">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
                    </w:rPr>
                  </w:pPr>
                </w:p>
              </w:tc>
            </w:tr>
            <w:tr w14:paraId="7B57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84" w:type="dxa"/>
                  <w:vMerge w:val="continue"/>
                  <w:tcBorders>
                    <w:left w:val="nil"/>
                  </w:tcBorders>
                  <w:noWrap w:val="0"/>
                  <w:vAlign w:val="center"/>
                </w:tcPr>
                <w:p w14:paraId="1F23D3DC">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700" w:type="dxa"/>
                  <w:noWrap w:val="0"/>
                  <w:vAlign w:val="center"/>
                </w:tcPr>
                <w:p w14:paraId="199A595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SS</w:t>
                  </w:r>
                </w:p>
              </w:tc>
              <w:tc>
                <w:tcPr>
                  <w:tcW w:w="750" w:type="dxa"/>
                  <w:vMerge w:val="continue"/>
                  <w:noWrap w:val="0"/>
                  <w:vAlign w:val="center"/>
                </w:tcPr>
                <w:p w14:paraId="41DDD0E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83" w:type="dxa"/>
                  <w:noWrap w:val="0"/>
                  <w:vAlign w:val="center"/>
                </w:tcPr>
                <w:p w14:paraId="5DFDB9B7">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817" w:type="dxa"/>
                  <w:noWrap w:val="0"/>
                  <w:vAlign w:val="center"/>
                </w:tcPr>
                <w:p w14:paraId="1224BDD6">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0.552</w:t>
                  </w:r>
                </w:p>
              </w:tc>
              <w:tc>
                <w:tcPr>
                  <w:tcW w:w="966" w:type="dxa"/>
                  <w:noWrap w:val="0"/>
                  <w:vAlign w:val="center"/>
                </w:tcPr>
                <w:p w14:paraId="177B5474">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784" w:type="dxa"/>
                  <w:noWrap w:val="0"/>
                  <w:vAlign w:val="center"/>
                </w:tcPr>
                <w:p w14:paraId="24ED02B2">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w:t>
                  </w:r>
                  <w:r>
                    <w:rPr>
                      <w:rFonts w:hint="eastAsia" w:cs="Times New Roman"/>
                      <w:color w:val="000000"/>
                      <w:sz w:val="18"/>
                      <w:szCs w:val="18"/>
                      <w:highlight w:val="none"/>
                      <w:vertAlign w:val="baseline"/>
                      <w:lang w:val="en-US" w:eastAsia="zh-CN"/>
                    </w:rPr>
                    <w:t>30</w:t>
                  </w:r>
                </w:p>
              </w:tc>
              <w:tc>
                <w:tcPr>
                  <w:tcW w:w="1072" w:type="dxa"/>
                  <w:noWrap w:val="0"/>
                  <w:vAlign w:val="center"/>
                </w:tcPr>
                <w:p w14:paraId="261B9ECD">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10</w:t>
                  </w:r>
                </w:p>
              </w:tc>
              <w:tc>
                <w:tcPr>
                  <w:tcW w:w="969" w:type="dxa"/>
                  <w:vMerge w:val="continue"/>
                  <w:tcBorders>
                    <w:right w:val="nil"/>
                  </w:tcBorders>
                  <w:noWrap w:val="0"/>
                  <w:vAlign w:val="center"/>
                </w:tcPr>
                <w:p w14:paraId="5E559FB2">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
                    </w:rPr>
                  </w:pPr>
                </w:p>
              </w:tc>
            </w:tr>
            <w:tr w14:paraId="0887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dxa"/>
                  <w:vMerge w:val="continue"/>
                  <w:tcBorders>
                    <w:left w:val="nil"/>
                  </w:tcBorders>
                  <w:noWrap w:val="0"/>
                  <w:vAlign w:val="center"/>
                </w:tcPr>
                <w:p w14:paraId="4E3E237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700" w:type="dxa"/>
                  <w:noWrap w:val="0"/>
                  <w:vAlign w:val="center"/>
                </w:tcPr>
                <w:p w14:paraId="61F9EAE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氨氮</w:t>
                  </w:r>
                </w:p>
              </w:tc>
              <w:tc>
                <w:tcPr>
                  <w:tcW w:w="750" w:type="dxa"/>
                  <w:vMerge w:val="continue"/>
                  <w:noWrap w:val="0"/>
                  <w:vAlign w:val="center"/>
                </w:tcPr>
                <w:p w14:paraId="4A248FAB">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83" w:type="dxa"/>
                  <w:noWrap w:val="0"/>
                  <w:vAlign w:val="center"/>
                </w:tcPr>
                <w:p w14:paraId="6E61432D">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817" w:type="dxa"/>
                  <w:noWrap w:val="0"/>
                  <w:vAlign w:val="center"/>
                </w:tcPr>
                <w:p w14:paraId="75AB42C0">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w:t>
                  </w:r>
                  <w:r>
                    <w:rPr>
                      <w:rFonts w:hint="eastAsia" w:cs="Times New Roman"/>
                      <w:color w:val="000000"/>
                      <w:sz w:val="18"/>
                      <w:szCs w:val="18"/>
                      <w:highlight w:val="none"/>
                      <w:vertAlign w:val="baseline"/>
                      <w:lang w:val="en-US" w:eastAsia="zh-CN"/>
                    </w:rPr>
                    <w:t>151</w:t>
                  </w:r>
                </w:p>
              </w:tc>
              <w:tc>
                <w:tcPr>
                  <w:tcW w:w="966" w:type="dxa"/>
                  <w:noWrap w:val="0"/>
                  <w:vAlign w:val="center"/>
                </w:tcPr>
                <w:p w14:paraId="012B12BF">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w:t>
                  </w:r>
                </w:p>
              </w:tc>
              <w:tc>
                <w:tcPr>
                  <w:tcW w:w="784" w:type="dxa"/>
                  <w:noWrap w:val="0"/>
                  <w:vAlign w:val="center"/>
                </w:tcPr>
                <w:p w14:paraId="64EF8925">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0.0</w:t>
                  </w:r>
                  <w:r>
                    <w:rPr>
                      <w:rFonts w:hint="eastAsia" w:cs="Times New Roman"/>
                      <w:color w:val="000000"/>
                      <w:sz w:val="18"/>
                      <w:szCs w:val="18"/>
                      <w:highlight w:val="none"/>
                      <w:vertAlign w:val="baseline"/>
                      <w:lang w:val="en-US" w:eastAsia="zh-CN"/>
                    </w:rPr>
                    <w:t>15</w:t>
                  </w:r>
                </w:p>
              </w:tc>
              <w:tc>
                <w:tcPr>
                  <w:tcW w:w="1072" w:type="dxa"/>
                  <w:noWrap w:val="0"/>
                  <w:vAlign w:val="center"/>
                </w:tcPr>
                <w:p w14:paraId="12E9559D">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5</w:t>
                  </w:r>
                </w:p>
              </w:tc>
              <w:tc>
                <w:tcPr>
                  <w:tcW w:w="969" w:type="dxa"/>
                  <w:vMerge w:val="continue"/>
                  <w:tcBorders>
                    <w:right w:val="nil"/>
                  </w:tcBorders>
                  <w:noWrap w:val="0"/>
                  <w:vAlign w:val="center"/>
                </w:tcPr>
                <w:p w14:paraId="3F54F3FA">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
                    </w:rPr>
                  </w:pPr>
                </w:p>
              </w:tc>
            </w:tr>
            <w:tr w14:paraId="4056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dxa"/>
                  <w:vMerge w:val="continue"/>
                  <w:tcBorders>
                    <w:left w:val="nil"/>
                    <w:bottom w:val="single" w:color="auto" w:sz="12" w:space="0"/>
                  </w:tcBorders>
                  <w:noWrap w:val="0"/>
                  <w:vAlign w:val="center"/>
                </w:tcPr>
                <w:p w14:paraId="7FAB4C0E">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700" w:type="dxa"/>
                  <w:tcBorders>
                    <w:bottom w:val="single" w:color="auto" w:sz="12" w:space="0"/>
                  </w:tcBorders>
                  <w:noWrap w:val="0"/>
                  <w:vAlign w:val="center"/>
                </w:tcPr>
                <w:p w14:paraId="0C204091">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r>
                    <w:rPr>
                      <w:rFonts w:hint="eastAsia" w:ascii="Times New Roman" w:hAnsi="Times New Roman" w:eastAsia="宋体" w:cs="Times New Roman"/>
                      <w:color w:val="000000"/>
                      <w:sz w:val="18"/>
                      <w:szCs w:val="18"/>
                      <w:highlight w:val="none"/>
                      <w:vertAlign w:val="baseline"/>
                      <w:lang w:eastAsia="zh-CN"/>
                    </w:rPr>
                    <w:t>色度（倍）</w:t>
                  </w:r>
                </w:p>
              </w:tc>
              <w:tc>
                <w:tcPr>
                  <w:tcW w:w="750" w:type="dxa"/>
                  <w:vMerge w:val="continue"/>
                  <w:tcBorders>
                    <w:bottom w:val="single" w:color="auto" w:sz="12" w:space="0"/>
                  </w:tcBorders>
                  <w:noWrap w:val="0"/>
                  <w:vAlign w:val="center"/>
                </w:tcPr>
                <w:p w14:paraId="2C428378">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rPr>
                  </w:pPr>
                </w:p>
              </w:tc>
              <w:tc>
                <w:tcPr>
                  <w:tcW w:w="983" w:type="dxa"/>
                  <w:tcBorders>
                    <w:bottom w:val="single" w:color="auto" w:sz="12" w:space="0"/>
                  </w:tcBorders>
                  <w:noWrap w:val="0"/>
                  <w:vAlign w:val="center"/>
                </w:tcPr>
                <w:p w14:paraId="1F9AD849">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817" w:type="dxa"/>
                  <w:tcBorders>
                    <w:bottom w:val="single" w:color="auto" w:sz="12" w:space="0"/>
                  </w:tcBorders>
                  <w:noWrap w:val="0"/>
                  <w:vAlign w:val="center"/>
                </w:tcPr>
                <w:p w14:paraId="313DBE39">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966" w:type="dxa"/>
                  <w:tcBorders>
                    <w:bottom w:val="single" w:color="auto" w:sz="12" w:space="0"/>
                  </w:tcBorders>
                  <w:noWrap w:val="0"/>
                  <w:vAlign w:val="center"/>
                </w:tcPr>
                <w:p w14:paraId="37C82B03">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784" w:type="dxa"/>
                  <w:tcBorders>
                    <w:bottom w:val="single" w:color="auto" w:sz="12" w:space="0"/>
                  </w:tcBorders>
                  <w:noWrap w:val="0"/>
                  <w:vAlign w:val="center"/>
                </w:tcPr>
                <w:p w14:paraId="51E2FED0">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1072" w:type="dxa"/>
                  <w:tcBorders>
                    <w:bottom w:val="single" w:color="auto" w:sz="12" w:space="0"/>
                  </w:tcBorders>
                  <w:noWrap w:val="0"/>
                  <w:vAlign w:val="center"/>
                </w:tcPr>
                <w:p w14:paraId="5868EAA4">
                  <w:pPr>
                    <w:pStyle w:val="8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ascii="Times New Roman" w:hAnsi="Times New Roman" w:eastAsia="宋体" w:cs="Times New Roman"/>
                      <w:color w:val="000000"/>
                      <w:sz w:val="18"/>
                      <w:szCs w:val="18"/>
                      <w:highlight w:val="none"/>
                      <w:vertAlign w:val="baseline"/>
                      <w:lang w:val="en-US" w:eastAsia="zh-CN"/>
                    </w:rPr>
                    <w:t>/</w:t>
                  </w:r>
                </w:p>
              </w:tc>
              <w:tc>
                <w:tcPr>
                  <w:tcW w:w="969" w:type="dxa"/>
                  <w:vMerge w:val="continue"/>
                  <w:tcBorders>
                    <w:bottom w:val="single" w:color="auto" w:sz="12" w:space="0"/>
                    <w:right w:val="nil"/>
                  </w:tcBorders>
                  <w:noWrap w:val="0"/>
                  <w:vAlign w:val="center"/>
                </w:tcPr>
                <w:p w14:paraId="5AB2FC05">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sz w:val="18"/>
                      <w:szCs w:val="18"/>
                      <w:highlight w:val="none"/>
                      <w:vertAlign w:val="baseline"/>
                      <w:lang w:eastAsia="zh-CN"/>
                    </w:rPr>
                  </w:pPr>
                </w:p>
              </w:tc>
            </w:tr>
          </w:tbl>
          <w:p w14:paraId="7D4A53F4">
            <w:pPr>
              <w:pStyle w:val="81"/>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项目废水污染治理设施信息见下表：</w:t>
            </w:r>
          </w:p>
          <w:p w14:paraId="4008285A">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000000"/>
                <w:sz w:val="24"/>
                <w:szCs w:val="24"/>
                <w:highlight w:val="none"/>
              </w:rPr>
            </w:pPr>
            <w:bookmarkStart w:id="23" w:name="_Toc17275"/>
            <w:bookmarkStart w:id="24" w:name="_Toc30328"/>
            <w:bookmarkStart w:id="25" w:name="_Toc29080"/>
            <w:bookmarkStart w:id="26" w:name="_Toc16636"/>
            <w:bookmarkStart w:id="27" w:name="_Toc25537"/>
            <w:bookmarkStart w:id="28" w:name="_Toc17906"/>
            <w:bookmarkStart w:id="29" w:name="_Toc3522"/>
            <w:bookmarkStart w:id="30" w:name="_Toc17294"/>
            <w:bookmarkStart w:id="31" w:name="_Toc11790"/>
            <w:bookmarkStart w:id="32" w:name="_Toc27950"/>
            <w:bookmarkStart w:id="33" w:name="_Toc17405"/>
            <w:bookmarkStart w:id="34" w:name="_Toc28884"/>
            <w:r>
              <w:rPr>
                <w:rFonts w:hint="default" w:ascii="Times New Roman" w:hAnsi="Times New Roman" w:eastAsia="宋体" w:cs="Times New Roman"/>
                <w:b/>
                <w:bCs/>
                <w:color w:val="000000"/>
                <w:sz w:val="24"/>
                <w:szCs w:val="24"/>
                <w:highlight w:val="none"/>
              </w:rPr>
              <w:t>表4-</w:t>
            </w:r>
            <w:r>
              <w:rPr>
                <w:rFonts w:hint="eastAsia" w:ascii="Times New Roman" w:hAnsi="Times New Roman" w:eastAsia="宋体" w:cs="Times New Roman"/>
                <w:b/>
                <w:bCs/>
                <w:color w:val="000000"/>
                <w:sz w:val="24"/>
                <w:szCs w:val="24"/>
                <w:highlight w:val="none"/>
                <w:lang w:val="en-US" w:eastAsia="zh-CN"/>
              </w:rPr>
              <w:t>1</w:t>
            </w:r>
            <w:r>
              <w:rPr>
                <w:rFonts w:hint="eastAsia" w:ascii="Times New Roman" w:eastAsia="宋体"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lang w:eastAsia="zh-CN"/>
              </w:rPr>
              <w:t>废水</w:t>
            </w:r>
            <w:r>
              <w:rPr>
                <w:rFonts w:hint="eastAsia" w:ascii="Times New Roman" w:hAnsi="Times New Roman" w:eastAsia="宋体" w:cs="Times New Roman"/>
                <w:b/>
                <w:bCs/>
                <w:color w:val="000000"/>
                <w:sz w:val="24"/>
                <w:szCs w:val="24"/>
                <w:highlight w:val="none"/>
                <w:lang w:eastAsia="zh-CN"/>
              </w:rPr>
              <w:t>治理设施基本情况</w:t>
            </w:r>
            <w:r>
              <w:rPr>
                <w:rFonts w:hint="default" w:ascii="Times New Roman" w:hAnsi="Times New Roman" w:eastAsia="宋体" w:cs="Times New Roman"/>
                <w:b/>
                <w:bCs/>
                <w:color w:val="000000"/>
                <w:sz w:val="24"/>
                <w:szCs w:val="24"/>
                <w:highlight w:val="none"/>
              </w:rPr>
              <w:t>一览表</w:t>
            </w:r>
            <w:bookmarkEnd w:id="23"/>
            <w:bookmarkEnd w:id="24"/>
            <w:bookmarkEnd w:id="25"/>
            <w:bookmarkEnd w:id="26"/>
            <w:bookmarkEnd w:id="27"/>
            <w:bookmarkEnd w:id="28"/>
            <w:bookmarkEnd w:id="29"/>
            <w:bookmarkEnd w:id="30"/>
            <w:bookmarkEnd w:id="31"/>
            <w:bookmarkEnd w:id="32"/>
            <w:bookmarkEnd w:id="33"/>
            <w:bookmarkEnd w:id="34"/>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70"/>
              <w:gridCol w:w="737"/>
              <w:gridCol w:w="968"/>
              <w:gridCol w:w="682"/>
              <w:gridCol w:w="845"/>
              <w:gridCol w:w="1173"/>
              <w:gridCol w:w="770"/>
              <w:gridCol w:w="728"/>
              <w:gridCol w:w="868"/>
              <w:gridCol w:w="678"/>
            </w:tblGrid>
            <w:tr w14:paraId="2A7FE4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36" w:type="pct"/>
                  <w:vMerge w:val="restart"/>
                  <w:tcBorders>
                    <w:tl2br w:val="nil"/>
                    <w:tr2bl w:val="nil"/>
                  </w:tcBorders>
                  <w:noWrap w:val="0"/>
                  <w:vAlign w:val="center"/>
                </w:tcPr>
                <w:p w14:paraId="3967A6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eastAsia" w:ascii="Times New Roman" w:hAnsi="Times New Roman" w:eastAsia="宋体" w:cs="Times New Roman"/>
                      <w:color w:val="000000"/>
                      <w:sz w:val="21"/>
                      <w:szCs w:val="21"/>
                      <w:highlight w:val="none"/>
                      <w:vertAlign w:val="baseline"/>
                      <w:lang w:eastAsia="zh-CN"/>
                    </w:rPr>
                    <w:t>序号</w:t>
                  </w:r>
                </w:p>
              </w:tc>
              <w:tc>
                <w:tcPr>
                  <w:tcW w:w="471" w:type="pct"/>
                  <w:vMerge w:val="restart"/>
                  <w:tcBorders>
                    <w:tl2br w:val="nil"/>
                    <w:tr2bl w:val="nil"/>
                  </w:tcBorders>
                  <w:noWrap w:val="0"/>
                  <w:vAlign w:val="center"/>
                </w:tcPr>
                <w:p w14:paraId="77FEC3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000000"/>
                      <w:sz w:val="21"/>
                      <w:szCs w:val="21"/>
                      <w:highlight w:val="none"/>
                      <w:vertAlign w:val="baseline"/>
                      <w:lang w:eastAsia="zh-CN"/>
                    </w:rPr>
                  </w:pPr>
                  <w:r>
                    <w:rPr>
                      <w:rFonts w:hint="eastAsia" w:ascii="Times New Roman" w:hAnsi="Times New Roman" w:eastAsia="宋体" w:cs="Times New Roman"/>
                      <w:color w:val="000000"/>
                      <w:sz w:val="21"/>
                      <w:szCs w:val="21"/>
                      <w:highlight w:val="none"/>
                      <w:vertAlign w:val="baseline"/>
                      <w:lang w:eastAsia="zh-CN"/>
                    </w:rPr>
                    <w:t>废水类别</w:t>
                  </w:r>
                </w:p>
              </w:tc>
              <w:tc>
                <w:tcPr>
                  <w:tcW w:w="619" w:type="pct"/>
                  <w:vMerge w:val="restart"/>
                  <w:tcBorders>
                    <w:tl2br w:val="nil"/>
                    <w:tr2bl w:val="nil"/>
                  </w:tcBorders>
                  <w:noWrap w:val="0"/>
                  <w:vAlign w:val="center"/>
                </w:tcPr>
                <w:p w14:paraId="787DA5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污染物</w:t>
                  </w:r>
                  <w:r>
                    <w:rPr>
                      <w:rFonts w:hint="eastAsia" w:ascii="Times New Roman" w:hAnsi="Times New Roman" w:eastAsia="宋体" w:cs="Times New Roman"/>
                      <w:color w:val="000000"/>
                      <w:sz w:val="21"/>
                      <w:szCs w:val="21"/>
                      <w:highlight w:val="none"/>
                      <w:vertAlign w:val="baseline"/>
                      <w:lang w:eastAsia="zh-CN"/>
                    </w:rPr>
                    <w:t>种类</w:t>
                  </w:r>
                </w:p>
              </w:tc>
              <w:tc>
                <w:tcPr>
                  <w:tcW w:w="436" w:type="pct"/>
                  <w:vMerge w:val="restart"/>
                  <w:tcBorders>
                    <w:tl2br w:val="nil"/>
                    <w:tr2bl w:val="nil"/>
                  </w:tcBorders>
                  <w:noWrap w:val="0"/>
                  <w:vAlign w:val="center"/>
                </w:tcPr>
                <w:p w14:paraId="36C7CF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eastAsia" w:ascii="Times New Roman" w:hAnsi="Times New Roman" w:eastAsia="宋体" w:cs="Times New Roman"/>
                      <w:color w:val="000000"/>
                      <w:sz w:val="21"/>
                      <w:szCs w:val="21"/>
                      <w:highlight w:val="none"/>
                      <w:vertAlign w:val="baseline"/>
                      <w:lang w:eastAsia="zh-CN"/>
                    </w:rPr>
                    <w:t>排放方式</w:t>
                  </w:r>
                </w:p>
              </w:tc>
              <w:tc>
                <w:tcPr>
                  <w:tcW w:w="540" w:type="pct"/>
                  <w:vMerge w:val="restart"/>
                  <w:tcBorders>
                    <w:tl2br w:val="nil"/>
                    <w:tr2bl w:val="nil"/>
                  </w:tcBorders>
                  <w:noWrap w:val="0"/>
                  <w:vAlign w:val="center"/>
                </w:tcPr>
                <w:p w14:paraId="3276EA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eastAsia" w:ascii="Times New Roman" w:hAnsi="Times New Roman" w:eastAsia="宋体" w:cs="Times New Roman"/>
                      <w:color w:val="000000"/>
                      <w:sz w:val="21"/>
                      <w:szCs w:val="21"/>
                      <w:highlight w:val="none"/>
                      <w:vertAlign w:val="baseline"/>
                      <w:lang w:eastAsia="zh-CN"/>
                    </w:rPr>
                    <w:t>排放去向</w:t>
                  </w:r>
                </w:p>
              </w:tc>
              <w:tc>
                <w:tcPr>
                  <w:tcW w:w="750" w:type="pct"/>
                  <w:vMerge w:val="restart"/>
                  <w:tcBorders>
                    <w:tl2br w:val="nil"/>
                    <w:tr2bl w:val="nil"/>
                  </w:tcBorders>
                  <w:noWrap w:val="0"/>
                  <w:vAlign w:val="center"/>
                </w:tcPr>
                <w:p w14:paraId="3569F4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eastAsia" w:ascii="Times New Roman" w:hAnsi="Times New Roman" w:eastAsia="宋体" w:cs="Times New Roman"/>
                      <w:color w:val="000000"/>
                      <w:sz w:val="21"/>
                      <w:szCs w:val="21"/>
                      <w:highlight w:val="none"/>
                      <w:vertAlign w:val="baseline"/>
                      <w:lang w:eastAsia="zh-CN"/>
                    </w:rPr>
                    <w:t>排放规律</w:t>
                  </w:r>
                </w:p>
              </w:tc>
              <w:tc>
                <w:tcPr>
                  <w:tcW w:w="1946" w:type="pct"/>
                  <w:gridSpan w:val="4"/>
                  <w:tcBorders>
                    <w:tl2br w:val="nil"/>
                    <w:tr2bl w:val="nil"/>
                  </w:tcBorders>
                  <w:noWrap w:val="0"/>
                  <w:vAlign w:val="center"/>
                </w:tcPr>
                <w:p w14:paraId="71177A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eastAsia" w:ascii="Times New Roman" w:hAnsi="Times New Roman" w:eastAsia="宋体" w:cs="Times New Roman"/>
                      <w:color w:val="000000"/>
                      <w:sz w:val="21"/>
                      <w:szCs w:val="21"/>
                      <w:highlight w:val="none"/>
                      <w:vertAlign w:val="baseline"/>
                      <w:lang w:eastAsia="zh-CN"/>
                    </w:rPr>
                    <w:t>治理设施</w:t>
                  </w:r>
                </w:p>
              </w:tc>
            </w:tr>
            <w:tr w14:paraId="60EEE8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36" w:type="pct"/>
                  <w:vMerge w:val="continue"/>
                  <w:tcBorders>
                    <w:tl2br w:val="nil"/>
                    <w:tr2bl w:val="nil"/>
                  </w:tcBorders>
                  <w:noWrap w:val="0"/>
                  <w:vAlign w:val="center"/>
                </w:tcPr>
                <w:p w14:paraId="5A67BB7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rPr>
                  </w:pPr>
                </w:p>
              </w:tc>
              <w:tc>
                <w:tcPr>
                  <w:tcW w:w="471" w:type="pct"/>
                  <w:vMerge w:val="continue"/>
                  <w:tcBorders>
                    <w:tl2br w:val="nil"/>
                    <w:tr2bl w:val="nil"/>
                  </w:tcBorders>
                  <w:noWrap w:val="0"/>
                  <w:vAlign w:val="center"/>
                </w:tcPr>
                <w:p w14:paraId="2DA9B94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rPr>
                  </w:pPr>
                </w:p>
              </w:tc>
              <w:tc>
                <w:tcPr>
                  <w:tcW w:w="619" w:type="pct"/>
                  <w:vMerge w:val="continue"/>
                  <w:tcBorders>
                    <w:tl2br w:val="nil"/>
                    <w:tr2bl w:val="nil"/>
                  </w:tcBorders>
                  <w:noWrap w:val="0"/>
                  <w:vAlign w:val="center"/>
                </w:tcPr>
                <w:p w14:paraId="10E2AE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rPr>
                  </w:pPr>
                </w:p>
              </w:tc>
              <w:tc>
                <w:tcPr>
                  <w:tcW w:w="436" w:type="pct"/>
                  <w:vMerge w:val="continue"/>
                  <w:tcBorders>
                    <w:tl2br w:val="nil"/>
                    <w:tr2bl w:val="nil"/>
                  </w:tcBorders>
                  <w:noWrap w:val="0"/>
                  <w:vAlign w:val="center"/>
                </w:tcPr>
                <w:p w14:paraId="634763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rPr>
                  </w:pPr>
                </w:p>
              </w:tc>
              <w:tc>
                <w:tcPr>
                  <w:tcW w:w="540" w:type="pct"/>
                  <w:vMerge w:val="continue"/>
                  <w:tcBorders>
                    <w:tl2br w:val="nil"/>
                    <w:tr2bl w:val="nil"/>
                  </w:tcBorders>
                  <w:noWrap w:val="0"/>
                  <w:vAlign w:val="center"/>
                </w:tcPr>
                <w:p w14:paraId="4CCE876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rPr>
                  </w:pPr>
                </w:p>
              </w:tc>
              <w:tc>
                <w:tcPr>
                  <w:tcW w:w="750" w:type="pct"/>
                  <w:vMerge w:val="continue"/>
                  <w:tcBorders>
                    <w:tl2br w:val="nil"/>
                    <w:tr2bl w:val="nil"/>
                  </w:tcBorders>
                  <w:noWrap w:val="0"/>
                  <w:vAlign w:val="center"/>
                </w:tcPr>
                <w:p w14:paraId="002D082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rPr>
                  </w:pPr>
                </w:p>
              </w:tc>
              <w:tc>
                <w:tcPr>
                  <w:tcW w:w="492" w:type="pct"/>
                  <w:tcBorders>
                    <w:tl2br w:val="nil"/>
                    <w:tr2bl w:val="nil"/>
                  </w:tcBorders>
                  <w:noWrap w:val="0"/>
                  <w:vAlign w:val="center"/>
                </w:tcPr>
                <w:p w14:paraId="1568BD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处理能力</w:t>
                  </w:r>
                </w:p>
              </w:tc>
              <w:tc>
                <w:tcPr>
                  <w:tcW w:w="465" w:type="pct"/>
                  <w:tcBorders>
                    <w:tl2br w:val="nil"/>
                    <w:tr2bl w:val="nil"/>
                  </w:tcBorders>
                  <w:noWrap w:val="0"/>
                  <w:vAlign w:val="center"/>
                </w:tcPr>
                <w:p w14:paraId="75E464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eastAsia="zh-CN"/>
                    </w:rPr>
                    <w:t>治理工艺</w:t>
                  </w:r>
                </w:p>
              </w:tc>
              <w:tc>
                <w:tcPr>
                  <w:tcW w:w="555" w:type="pct"/>
                  <w:tcBorders>
                    <w:tl2br w:val="nil"/>
                    <w:tr2bl w:val="nil"/>
                  </w:tcBorders>
                  <w:noWrap w:val="0"/>
                  <w:vAlign w:val="center"/>
                </w:tcPr>
                <w:p w14:paraId="0BE9B8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eastAsia="zh-CN"/>
                    </w:rPr>
                    <w:t>处理效率（</w:t>
                  </w:r>
                  <w:r>
                    <w:rPr>
                      <w:rFonts w:hint="eastAsia"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eastAsia="zh-CN"/>
                    </w:rPr>
                    <w:t>）</w:t>
                  </w:r>
                </w:p>
              </w:tc>
              <w:tc>
                <w:tcPr>
                  <w:tcW w:w="433" w:type="pct"/>
                  <w:tcBorders>
                    <w:tl2br w:val="nil"/>
                    <w:tr2bl w:val="nil"/>
                  </w:tcBorders>
                  <w:noWrap w:val="0"/>
                  <w:vAlign w:val="center"/>
                </w:tcPr>
                <w:p w14:paraId="3A7B7A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eastAsia="zh-CN"/>
                    </w:rPr>
                    <w:t>是否为可行技术</w:t>
                  </w:r>
                </w:p>
              </w:tc>
            </w:tr>
            <w:tr w14:paraId="0A353C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86" w:hRule="atLeast"/>
              </w:trPr>
              <w:tc>
                <w:tcPr>
                  <w:tcW w:w="236" w:type="pct"/>
                  <w:vMerge w:val="restart"/>
                  <w:tcBorders>
                    <w:tl2br w:val="nil"/>
                    <w:tr2bl w:val="nil"/>
                  </w:tcBorders>
                  <w:noWrap w:val="0"/>
                  <w:vAlign w:val="center"/>
                </w:tcPr>
                <w:p w14:paraId="0FC68126">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val="en-US" w:eastAsia="zh-CN"/>
                    </w:rPr>
                    <w:t>1</w:t>
                  </w:r>
                </w:p>
              </w:tc>
              <w:tc>
                <w:tcPr>
                  <w:tcW w:w="471" w:type="pct"/>
                  <w:vMerge w:val="restart"/>
                  <w:tcBorders>
                    <w:tl2br w:val="nil"/>
                    <w:tr2bl w:val="nil"/>
                  </w:tcBorders>
                  <w:noWrap w:val="0"/>
                  <w:vAlign w:val="center"/>
                </w:tcPr>
                <w:p w14:paraId="5BC19D30">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生活污水</w:t>
                  </w:r>
                </w:p>
              </w:tc>
              <w:tc>
                <w:tcPr>
                  <w:tcW w:w="619" w:type="pct"/>
                  <w:tcBorders>
                    <w:tl2br w:val="nil"/>
                    <w:tr2bl w:val="nil"/>
                  </w:tcBorders>
                  <w:noWrap w:val="0"/>
                  <w:vAlign w:val="center"/>
                </w:tcPr>
                <w:p w14:paraId="42E5EB27">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bidi="zh-CN"/>
                    </w:rPr>
                  </w:pPr>
                  <w:r>
                    <w:rPr>
                      <w:rFonts w:hint="default" w:ascii="Times New Roman" w:hAnsi="Times New Roman" w:eastAsia="宋体" w:cs="Times New Roman"/>
                      <w:color w:val="000000"/>
                      <w:sz w:val="21"/>
                      <w:szCs w:val="21"/>
                      <w:highlight w:val="none"/>
                    </w:rPr>
                    <w:t>COD</w:t>
                  </w:r>
                </w:p>
              </w:tc>
              <w:tc>
                <w:tcPr>
                  <w:tcW w:w="436" w:type="pct"/>
                  <w:vMerge w:val="restart"/>
                  <w:tcBorders>
                    <w:tl2br w:val="nil"/>
                    <w:tr2bl w:val="nil"/>
                  </w:tcBorders>
                  <w:noWrap w:val="0"/>
                  <w:vAlign w:val="center"/>
                </w:tcPr>
                <w:p w14:paraId="0FD314F9">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间接排放</w:t>
                  </w:r>
                </w:p>
              </w:tc>
              <w:tc>
                <w:tcPr>
                  <w:tcW w:w="540" w:type="pct"/>
                  <w:vMerge w:val="restart"/>
                  <w:tcBorders>
                    <w:tl2br w:val="nil"/>
                    <w:tr2bl w:val="nil"/>
                  </w:tcBorders>
                  <w:noWrap w:val="0"/>
                  <w:vAlign w:val="center"/>
                </w:tcPr>
                <w:p w14:paraId="38FD892B">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晋江仙石污水处理厂</w:t>
                  </w:r>
                </w:p>
              </w:tc>
              <w:tc>
                <w:tcPr>
                  <w:tcW w:w="750" w:type="pct"/>
                  <w:vMerge w:val="restart"/>
                  <w:tcBorders>
                    <w:tl2br w:val="nil"/>
                    <w:tr2bl w:val="nil"/>
                  </w:tcBorders>
                  <w:noWrap w:val="0"/>
                  <w:vAlign w:val="center"/>
                </w:tcPr>
                <w:p w14:paraId="4CCFA83A">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r>
                    <w:rPr>
                      <w:color w:val="000000"/>
                      <w:sz w:val="21"/>
                      <w:szCs w:val="21"/>
                      <w:highlight w:val="none"/>
                    </w:rPr>
                    <w:t>间断排放，排放期间流量不稳定且无规律，但不属于冲击型排放</w:t>
                  </w:r>
                </w:p>
              </w:tc>
              <w:tc>
                <w:tcPr>
                  <w:tcW w:w="492" w:type="pct"/>
                  <w:vMerge w:val="restart"/>
                  <w:tcBorders>
                    <w:tl2br w:val="nil"/>
                    <w:tr2bl w:val="nil"/>
                  </w:tcBorders>
                  <w:noWrap w:val="0"/>
                  <w:vAlign w:val="center"/>
                </w:tcPr>
                <w:p w14:paraId="64D825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superscript"/>
                      <w:lang w:val="en-US" w:eastAsia="zh-CN"/>
                    </w:rPr>
                  </w:pPr>
                  <w:r>
                    <w:rPr>
                      <w:rFonts w:hint="eastAsia" w:ascii="Times New Roman" w:hAnsi="Times New Roman" w:eastAsia="宋体" w:cs="Times New Roman"/>
                      <w:color w:val="000000"/>
                      <w:sz w:val="21"/>
                      <w:szCs w:val="21"/>
                      <w:highlight w:val="none"/>
                      <w:vertAlign w:val="baseline"/>
                      <w:lang w:val="en-US" w:eastAsia="zh-CN"/>
                    </w:rPr>
                    <w:t>100m</w:t>
                  </w:r>
                  <w:r>
                    <w:rPr>
                      <w:rFonts w:hint="eastAsia" w:ascii="Times New Roman" w:hAnsi="Times New Roman" w:eastAsia="宋体" w:cs="Times New Roman"/>
                      <w:color w:val="000000"/>
                      <w:sz w:val="21"/>
                      <w:szCs w:val="21"/>
                      <w:highlight w:val="none"/>
                      <w:vertAlign w:val="superscript"/>
                      <w:lang w:val="en-US" w:eastAsia="zh-CN"/>
                    </w:rPr>
                    <w:t>3</w:t>
                  </w:r>
                </w:p>
              </w:tc>
              <w:tc>
                <w:tcPr>
                  <w:tcW w:w="465" w:type="pct"/>
                  <w:vMerge w:val="restart"/>
                  <w:tcBorders>
                    <w:tl2br w:val="nil"/>
                    <w:tr2bl w:val="nil"/>
                  </w:tcBorders>
                  <w:noWrap w:val="0"/>
                  <w:vAlign w:val="center"/>
                </w:tcPr>
                <w:p w14:paraId="1451A2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化粪池</w:t>
                  </w:r>
                </w:p>
              </w:tc>
              <w:tc>
                <w:tcPr>
                  <w:tcW w:w="555" w:type="pct"/>
                  <w:tcBorders>
                    <w:tl2br w:val="nil"/>
                    <w:tr2bl w:val="nil"/>
                  </w:tcBorders>
                  <w:noWrap w:val="0"/>
                  <w:vAlign w:val="center"/>
                </w:tcPr>
                <w:p w14:paraId="326D16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41.2</w:t>
                  </w:r>
                </w:p>
              </w:tc>
              <w:tc>
                <w:tcPr>
                  <w:tcW w:w="433" w:type="pct"/>
                  <w:vMerge w:val="restart"/>
                  <w:tcBorders>
                    <w:tl2br w:val="nil"/>
                    <w:tr2bl w:val="nil"/>
                  </w:tcBorders>
                  <w:noWrap w:val="0"/>
                  <w:vAlign w:val="center"/>
                </w:tcPr>
                <w:p w14:paraId="3B7E6E62">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是</w:t>
                  </w:r>
                </w:p>
              </w:tc>
            </w:tr>
            <w:tr w14:paraId="51BB68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2" w:hRule="atLeast"/>
              </w:trPr>
              <w:tc>
                <w:tcPr>
                  <w:tcW w:w="236" w:type="pct"/>
                  <w:vMerge w:val="continue"/>
                  <w:tcBorders>
                    <w:tl2br w:val="nil"/>
                    <w:tr2bl w:val="nil"/>
                  </w:tcBorders>
                  <w:noWrap w:val="0"/>
                  <w:vAlign w:val="center"/>
                </w:tcPr>
                <w:p w14:paraId="71136213">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471" w:type="pct"/>
                  <w:vMerge w:val="continue"/>
                  <w:tcBorders>
                    <w:tl2br w:val="nil"/>
                    <w:tr2bl w:val="nil"/>
                  </w:tcBorders>
                  <w:noWrap w:val="0"/>
                  <w:vAlign w:val="center"/>
                </w:tcPr>
                <w:p w14:paraId="0A803C39">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619" w:type="pct"/>
                  <w:tcBorders>
                    <w:tl2br w:val="nil"/>
                    <w:tr2bl w:val="nil"/>
                  </w:tcBorders>
                  <w:noWrap w:val="0"/>
                  <w:vAlign w:val="center"/>
                </w:tcPr>
                <w:p w14:paraId="6ABC230F">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bidi="zh-CN"/>
                    </w:rPr>
                  </w:pPr>
                  <w:r>
                    <w:rPr>
                      <w:rFonts w:hint="default" w:ascii="Times New Roman" w:hAnsi="Times New Roman" w:eastAsia="宋体" w:cs="Times New Roman"/>
                      <w:color w:val="000000"/>
                      <w:sz w:val="21"/>
                      <w:szCs w:val="21"/>
                      <w:highlight w:val="none"/>
                    </w:rPr>
                    <w:t>BOD</w:t>
                  </w:r>
                  <w:r>
                    <w:rPr>
                      <w:rFonts w:hint="default" w:ascii="Times New Roman" w:hAnsi="Times New Roman" w:eastAsia="宋体" w:cs="Times New Roman"/>
                      <w:color w:val="000000"/>
                      <w:sz w:val="21"/>
                      <w:szCs w:val="21"/>
                      <w:highlight w:val="none"/>
                      <w:vertAlign w:val="subscript"/>
                    </w:rPr>
                    <w:t>5</w:t>
                  </w:r>
                </w:p>
              </w:tc>
              <w:tc>
                <w:tcPr>
                  <w:tcW w:w="436" w:type="pct"/>
                  <w:vMerge w:val="continue"/>
                  <w:tcBorders>
                    <w:tl2br w:val="nil"/>
                    <w:tr2bl w:val="nil"/>
                  </w:tcBorders>
                  <w:noWrap w:val="0"/>
                  <w:vAlign w:val="center"/>
                </w:tcPr>
                <w:p w14:paraId="5AEF36CB">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540" w:type="pct"/>
                  <w:vMerge w:val="continue"/>
                  <w:tcBorders>
                    <w:tl2br w:val="nil"/>
                    <w:tr2bl w:val="nil"/>
                  </w:tcBorders>
                  <w:noWrap w:val="0"/>
                  <w:vAlign w:val="center"/>
                </w:tcPr>
                <w:p w14:paraId="2E24BB38">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750" w:type="pct"/>
                  <w:vMerge w:val="continue"/>
                  <w:tcBorders>
                    <w:tl2br w:val="nil"/>
                    <w:tr2bl w:val="nil"/>
                  </w:tcBorders>
                  <w:noWrap w:val="0"/>
                  <w:vAlign w:val="center"/>
                </w:tcPr>
                <w:p w14:paraId="357391C2">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492" w:type="pct"/>
                  <w:vMerge w:val="continue"/>
                  <w:tcBorders>
                    <w:tl2br w:val="nil"/>
                    <w:tr2bl w:val="nil"/>
                  </w:tcBorders>
                  <w:noWrap w:val="0"/>
                  <w:vAlign w:val="center"/>
                </w:tcPr>
                <w:p w14:paraId="53473E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p>
              </w:tc>
              <w:tc>
                <w:tcPr>
                  <w:tcW w:w="465" w:type="pct"/>
                  <w:vMerge w:val="continue"/>
                  <w:tcBorders>
                    <w:tl2br w:val="nil"/>
                    <w:tr2bl w:val="nil"/>
                  </w:tcBorders>
                  <w:noWrap w:val="0"/>
                  <w:vAlign w:val="center"/>
                </w:tcPr>
                <w:p w14:paraId="40038AB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555" w:type="pct"/>
                  <w:tcBorders>
                    <w:tl2br w:val="nil"/>
                    <w:tr2bl w:val="nil"/>
                  </w:tcBorders>
                  <w:noWrap w:val="0"/>
                  <w:vAlign w:val="center"/>
                </w:tcPr>
                <w:p w14:paraId="540BB8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68</w:t>
                  </w:r>
                </w:p>
              </w:tc>
              <w:tc>
                <w:tcPr>
                  <w:tcW w:w="433" w:type="pct"/>
                  <w:vMerge w:val="continue"/>
                  <w:tcBorders>
                    <w:tl2br w:val="nil"/>
                    <w:tr2bl w:val="nil"/>
                  </w:tcBorders>
                  <w:noWrap w:val="0"/>
                  <w:vAlign w:val="center"/>
                </w:tcPr>
                <w:p w14:paraId="2243C741">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p>
              </w:tc>
            </w:tr>
            <w:tr w14:paraId="783573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5" w:hRule="atLeast"/>
              </w:trPr>
              <w:tc>
                <w:tcPr>
                  <w:tcW w:w="236" w:type="pct"/>
                  <w:vMerge w:val="continue"/>
                  <w:tcBorders>
                    <w:tl2br w:val="nil"/>
                    <w:tr2bl w:val="nil"/>
                  </w:tcBorders>
                  <w:noWrap w:val="0"/>
                  <w:vAlign w:val="center"/>
                </w:tcPr>
                <w:p w14:paraId="6CC3FC02">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471" w:type="pct"/>
                  <w:vMerge w:val="continue"/>
                  <w:tcBorders>
                    <w:tl2br w:val="nil"/>
                    <w:tr2bl w:val="nil"/>
                  </w:tcBorders>
                  <w:noWrap w:val="0"/>
                  <w:vAlign w:val="center"/>
                </w:tcPr>
                <w:p w14:paraId="0A5F2EC0">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619" w:type="pct"/>
                  <w:tcBorders>
                    <w:tl2br w:val="nil"/>
                    <w:tr2bl w:val="nil"/>
                  </w:tcBorders>
                  <w:noWrap w:val="0"/>
                  <w:vAlign w:val="center"/>
                </w:tcPr>
                <w:p w14:paraId="6679CD76">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bidi="zh-CN"/>
                    </w:rPr>
                  </w:pPr>
                  <w:r>
                    <w:rPr>
                      <w:rFonts w:hint="default" w:ascii="Times New Roman" w:hAnsi="Times New Roman" w:eastAsia="宋体" w:cs="Times New Roman"/>
                      <w:color w:val="000000"/>
                      <w:sz w:val="21"/>
                      <w:szCs w:val="21"/>
                      <w:highlight w:val="none"/>
                      <w:lang w:val="en-US" w:eastAsia="zh-CN"/>
                    </w:rPr>
                    <w:t>SS</w:t>
                  </w:r>
                </w:p>
              </w:tc>
              <w:tc>
                <w:tcPr>
                  <w:tcW w:w="436" w:type="pct"/>
                  <w:vMerge w:val="continue"/>
                  <w:tcBorders>
                    <w:tl2br w:val="nil"/>
                    <w:tr2bl w:val="nil"/>
                  </w:tcBorders>
                  <w:noWrap w:val="0"/>
                  <w:vAlign w:val="center"/>
                </w:tcPr>
                <w:p w14:paraId="437E2759">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540" w:type="pct"/>
                  <w:vMerge w:val="continue"/>
                  <w:tcBorders>
                    <w:tl2br w:val="nil"/>
                    <w:tr2bl w:val="nil"/>
                  </w:tcBorders>
                  <w:noWrap w:val="0"/>
                  <w:vAlign w:val="center"/>
                </w:tcPr>
                <w:p w14:paraId="1D6C2FA5">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750" w:type="pct"/>
                  <w:vMerge w:val="continue"/>
                  <w:tcBorders>
                    <w:tl2br w:val="nil"/>
                    <w:tr2bl w:val="nil"/>
                  </w:tcBorders>
                  <w:noWrap w:val="0"/>
                  <w:vAlign w:val="center"/>
                </w:tcPr>
                <w:p w14:paraId="072E8BF2">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492" w:type="pct"/>
                  <w:vMerge w:val="continue"/>
                  <w:tcBorders>
                    <w:tl2br w:val="nil"/>
                    <w:tr2bl w:val="nil"/>
                  </w:tcBorders>
                  <w:noWrap w:val="0"/>
                  <w:vAlign w:val="center"/>
                </w:tcPr>
                <w:p w14:paraId="04A92C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p>
              </w:tc>
              <w:tc>
                <w:tcPr>
                  <w:tcW w:w="465" w:type="pct"/>
                  <w:vMerge w:val="continue"/>
                  <w:tcBorders>
                    <w:tl2br w:val="nil"/>
                    <w:tr2bl w:val="nil"/>
                  </w:tcBorders>
                  <w:noWrap w:val="0"/>
                  <w:vAlign w:val="center"/>
                </w:tcPr>
                <w:p w14:paraId="2B069C8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555" w:type="pct"/>
                  <w:tcBorders>
                    <w:tl2br w:val="nil"/>
                    <w:tr2bl w:val="nil"/>
                  </w:tcBorders>
                  <w:noWrap w:val="0"/>
                  <w:vAlign w:val="center"/>
                </w:tcPr>
                <w:p w14:paraId="6533D3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31.8</w:t>
                  </w:r>
                </w:p>
              </w:tc>
              <w:tc>
                <w:tcPr>
                  <w:tcW w:w="433" w:type="pct"/>
                  <w:vMerge w:val="continue"/>
                  <w:tcBorders>
                    <w:tl2br w:val="nil"/>
                    <w:tr2bl w:val="nil"/>
                  </w:tcBorders>
                  <w:noWrap w:val="0"/>
                  <w:vAlign w:val="center"/>
                </w:tcPr>
                <w:p w14:paraId="29917ACB">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p>
              </w:tc>
            </w:tr>
            <w:tr w14:paraId="37C8D0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9" w:hRule="atLeast"/>
              </w:trPr>
              <w:tc>
                <w:tcPr>
                  <w:tcW w:w="236" w:type="pct"/>
                  <w:vMerge w:val="continue"/>
                  <w:tcBorders>
                    <w:tl2br w:val="nil"/>
                    <w:tr2bl w:val="nil"/>
                  </w:tcBorders>
                  <w:noWrap w:val="0"/>
                  <w:vAlign w:val="center"/>
                </w:tcPr>
                <w:p w14:paraId="62CFDA0D">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471" w:type="pct"/>
                  <w:vMerge w:val="continue"/>
                  <w:tcBorders>
                    <w:tl2br w:val="nil"/>
                    <w:tr2bl w:val="nil"/>
                  </w:tcBorders>
                  <w:noWrap w:val="0"/>
                  <w:vAlign w:val="center"/>
                </w:tcPr>
                <w:p w14:paraId="61D50C10">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619" w:type="pct"/>
                  <w:tcBorders>
                    <w:tl2br w:val="nil"/>
                    <w:tr2bl w:val="nil"/>
                  </w:tcBorders>
                  <w:noWrap w:val="0"/>
                  <w:vAlign w:val="center"/>
                </w:tcPr>
                <w:p w14:paraId="21D4D25A">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NH</w:t>
                  </w:r>
                  <w:r>
                    <w:rPr>
                      <w:rFonts w:hint="default" w:ascii="Times New Roman" w:hAnsi="Times New Roman" w:eastAsia="宋体" w:cs="Times New Roman"/>
                      <w:color w:val="000000"/>
                      <w:sz w:val="21"/>
                      <w:szCs w:val="21"/>
                      <w:highlight w:val="none"/>
                      <w:vertAlign w:val="subscript"/>
                      <w:lang w:val="en-US" w:eastAsia="zh-CN"/>
                    </w:rPr>
                    <w:t>3</w:t>
                  </w:r>
                  <w:r>
                    <w:rPr>
                      <w:rFonts w:hint="default" w:ascii="Times New Roman" w:hAnsi="Times New Roman" w:eastAsia="宋体" w:cs="Times New Roman"/>
                      <w:color w:val="000000"/>
                      <w:sz w:val="21"/>
                      <w:szCs w:val="21"/>
                      <w:highlight w:val="none"/>
                      <w:vertAlign w:val="baseline"/>
                      <w:lang w:val="en-US" w:eastAsia="zh-CN"/>
                    </w:rPr>
                    <w:t>-N</w:t>
                  </w:r>
                </w:p>
              </w:tc>
              <w:tc>
                <w:tcPr>
                  <w:tcW w:w="436" w:type="pct"/>
                  <w:vMerge w:val="continue"/>
                  <w:tcBorders>
                    <w:tl2br w:val="nil"/>
                    <w:tr2bl w:val="nil"/>
                  </w:tcBorders>
                  <w:noWrap w:val="0"/>
                  <w:vAlign w:val="center"/>
                </w:tcPr>
                <w:p w14:paraId="2CFEC650">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540" w:type="pct"/>
                  <w:vMerge w:val="continue"/>
                  <w:tcBorders>
                    <w:tl2br w:val="nil"/>
                    <w:tr2bl w:val="nil"/>
                  </w:tcBorders>
                  <w:noWrap w:val="0"/>
                  <w:vAlign w:val="center"/>
                </w:tcPr>
                <w:p w14:paraId="712DE241">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750" w:type="pct"/>
                  <w:vMerge w:val="continue"/>
                  <w:tcBorders>
                    <w:tl2br w:val="nil"/>
                    <w:tr2bl w:val="nil"/>
                  </w:tcBorders>
                  <w:noWrap w:val="0"/>
                  <w:vAlign w:val="center"/>
                </w:tcPr>
                <w:p w14:paraId="59EC5AD4">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492" w:type="pct"/>
                  <w:vMerge w:val="continue"/>
                  <w:tcBorders>
                    <w:tl2br w:val="nil"/>
                    <w:tr2bl w:val="nil"/>
                  </w:tcBorders>
                  <w:noWrap w:val="0"/>
                  <w:vAlign w:val="center"/>
                </w:tcPr>
                <w:p w14:paraId="543A94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p>
              </w:tc>
              <w:tc>
                <w:tcPr>
                  <w:tcW w:w="465" w:type="pct"/>
                  <w:vMerge w:val="continue"/>
                  <w:tcBorders>
                    <w:tl2br w:val="nil"/>
                    <w:tr2bl w:val="nil"/>
                  </w:tcBorders>
                  <w:noWrap w:val="0"/>
                  <w:vAlign w:val="center"/>
                </w:tcPr>
                <w:p w14:paraId="1EAC744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555" w:type="pct"/>
                  <w:tcBorders>
                    <w:tl2br w:val="nil"/>
                    <w:tr2bl w:val="nil"/>
                  </w:tcBorders>
                  <w:noWrap w:val="0"/>
                  <w:vAlign w:val="center"/>
                </w:tcPr>
                <w:p w14:paraId="1BBEBDF5">
                  <w:pPr>
                    <w:pStyle w:val="1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38.7</w:t>
                  </w:r>
                </w:p>
              </w:tc>
              <w:tc>
                <w:tcPr>
                  <w:tcW w:w="433" w:type="pct"/>
                  <w:vMerge w:val="continue"/>
                  <w:tcBorders>
                    <w:tl2br w:val="nil"/>
                    <w:tr2bl w:val="nil"/>
                  </w:tcBorders>
                  <w:noWrap w:val="0"/>
                  <w:vAlign w:val="center"/>
                </w:tcPr>
                <w:p w14:paraId="649A4F65">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p>
              </w:tc>
            </w:tr>
            <w:tr w14:paraId="77DE84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9" w:hRule="atLeast"/>
              </w:trPr>
              <w:tc>
                <w:tcPr>
                  <w:tcW w:w="236" w:type="pct"/>
                  <w:vMerge w:val="restart"/>
                  <w:tcBorders>
                    <w:tl2br w:val="nil"/>
                    <w:tr2bl w:val="nil"/>
                  </w:tcBorders>
                  <w:noWrap w:val="0"/>
                  <w:vAlign w:val="center"/>
                </w:tcPr>
                <w:p w14:paraId="5F7A1771">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bookmarkStart w:id="35" w:name="_Toc25906"/>
                  <w:bookmarkStart w:id="36" w:name="_Toc23341"/>
                  <w:bookmarkStart w:id="37" w:name="_Toc2671"/>
                  <w:bookmarkStart w:id="38" w:name="_Toc21026"/>
                  <w:bookmarkStart w:id="39" w:name="_Toc17308"/>
                  <w:bookmarkStart w:id="40" w:name="_Toc29858"/>
                  <w:bookmarkStart w:id="41" w:name="_Toc19343"/>
                  <w:bookmarkStart w:id="42" w:name="_Toc26285"/>
                  <w:bookmarkStart w:id="43" w:name="_Toc15161"/>
                  <w:bookmarkStart w:id="44" w:name="_Toc581"/>
                  <w:bookmarkStart w:id="45" w:name="_Toc21228"/>
                  <w:bookmarkStart w:id="46" w:name="_Toc12529"/>
                  <w:bookmarkStart w:id="47" w:name="_Toc31600"/>
                  <w:r>
                    <w:rPr>
                      <w:rFonts w:hint="eastAsia" w:ascii="Times New Roman" w:hAnsi="Times New Roman" w:eastAsia="宋体" w:cs="Times New Roman"/>
                      <w:color w:val="000000"/>
                      <w:sz w:val="21"/>
                      <w:szCs w:val="21"/>
                      <w:highlight w:val="none"/>
                      <w:lang w:val="en-US" w:eastAsia="zh-CN"/>
                    </w:rPr>
                    <w:t>2</w:t>
                  </w:r>
                </w:p>
              </w:tc>
              <w:tc>
                <w:tcPr>
                  <w:tcW w:w="471" w:type="pct"/>
                  <w:vMerge w:val="restart"/>
                  <w:tcBorders>
                    <w:tl2br w:val="nil"/>
                    <w:tr2bl w:val="nil"/>
                  </w:tcBorders>
                  <w:noWrap w:val="0"/>
                  <w:vAlign w:val="center"/>
                </w:tcPr>
                <w:p w14:paraId="272F79DA">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生产废水</w:t>
                  </w:r>
                </w:p>
              </w:tc>
              <w:tc>
                <w:tcPr>
                  <w:tcW w:w="619" w:type="pct"/>
                  <w:tcBorders>
                    <w:tl2br w:val="nil"/>
                    <w:tr2bl w:val="nil"/>
                  </w:tcBorders>
                  <w:noWrap w:val="0"/>
                  <w:vAlign w:val="center"/>
                </w:tcPr>
                <w:p w14:paraId="0209837C">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highlight w:val="none"/>
                      <w:vertAlign w:val="baseline"/>
                      <w:lang w:val="en-US" w:eastAsia="zh-CN" w:bidi="zh-CN"/>
                    </w:rPr>
                  </w:pPr>
                  <w:r>
                    <w:rPr>
                      <w:rFonts w:hint="default" w:ascii="Times New Roman" w:hAnsi="Times New Roman" w:eastAsia="宋体" w:cs="Times New Roman"/>
                      <w:color w:val="000000"/>
                      <w:sz w:val="21"/>
                      <w:szCs w:val="21"/>
                      <w:highlight w:val="none"/>
                    </w:rPr>
                    <w:t>COD</w:t>
                  </w:r>
                </w:p>
              </w:tc>
              <w:tc>
                <w:tcPr>
                  <w:tcW w:w="436" w:type="pct"/>
                  <w:vMerge w:val="continue"/>
                  <w:tcBorders>
                    <w:tl2br w:val="nil"/>
                    <w:tr2bl w:val="nil"/>
                  </w:tcBorders>
                  <w:noWrap w:val="0"/>
                  <w:vAlign w:val="center"/>
                </w:tcPr>
                <w:p w14:paraId="3AEF435C">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540" w:type="pct"/>
                  <w:vMerge w:val="continue"/>
                  <w:tcBorders>
                    <w:tl2br w:val="nil"/>
                    <w:tr2bl w:val="nil"/>
                  </w:tcBorders>
                  <w:noWrap w:val="0"/>
                  <w:vAlign w:val="center"/>
                </w:tcPr>
                <w:p w14:paraId="4916BB82">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750" w:type="pct"/>
                  <w:vMerge w:val="continue"/>
                  <w:tcBorders>
                    <w:tl2br w:val="nil"/>
                    <w:tr2bl w:val="nil"/>
                  </w:tcBorders>
                  <w:noWrap w:val="0"/>
                  <w:vAlign w:val="center"/>
                </w:tcPr>
                <w:p w14:paraId="3F47719C">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492" w:type="pct"/>
                  <w:vMerge w:val="restart"/>
                  <w:tcBorders>
                    <w:tl2br w:val="nil"/>
                    <w:tr2bl w:val="nil"/>
                  </w:tcBorders>
                  <w:noWrap w:val="0"/>
                  <w:vAlign w:val="center"/>
                </w:tcPr>
                <w:p w14:paraId="03549C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40t/d</w:t>
                  </w:r>
                </w:p>
              </w:tc>
              <w:tc>
                <w:tcPr>
                  <w:tcW w:w="465" w:type="pct"/>
                  <w:vMerge w:val="restart"/>
                  <w:tcBorders>
                    <w:tl2br w:val="nil"/>
                    <w:tr2bl w:val="nil"/>
                  </w:tcBorders>
                  <w:noWrap w:val="0"/>
                  <w:vAlign w:val="center"/>
                </w:tcPr>
                <w:p w14:paraId="3206AF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eastAsia="zh-CN"/>
                    </w:rPr>
                    <w:t>混凝沉淀</w:t>
                  </w:r>
                  <w:r>
                    <w:rPr>
                      <w:rFonts w:hint="eastAsia" w:cs="Times New Roman"/>
                      <w:color w:val="000000"/>
                      <w:sz w:val="21"/>
                      <w:szCs w:val="21"/>
                      <w:highlight w:val="none"/>
                      <w:vertAlign w:val="baseline"/>
                      <w:lang w:val="en-US" w:eastAsia="zh-CN"/>
                    </w:rPr>
                    <w:t>+</w:t>
                  </w:r>
                  <w:r>
                    <w:rPr>
                      <w:rFonts w:hint="eastAsia"/>
                      <w:highlight w:val="none"/>
                      <w:lang w:val="en-US" w:eastAsia="zh-CN"/>
                    </w:rPr>
                    <w:t>生物接触氧化</w:t>
                  </w:r>
                </w:p>
              </w:tc>
              <w:tc>
                <w:tcPr>
                  <w:tcW w:w="555" w:type="pct"/>
                  <w:tcBorders>
                    <w:tl2br w:val="nil"/>
                    <w:tr2bl w:val="nil"/>
                  </w:tcBorders>
                  <w:noWrap w:val="0"/>
                  <w:vAlign w:val="center"/>
                </w:tcPr>
                <w:p w14:paraId="4AF5A226">
                  <w:pPr>
                    <w:pStyle w:val="1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eastAsia="宋体" w:cs="Times New Roman"/>
                      <w:color w:val="000000"/>
                      <w:sz w:val="21"/>
                      <w:szCs w:val="21"/>
                      <w:highlight w:val="none"/>
                      <w:vertAlign w:val="baseline"/>
                      <w:lang w:val="en-US" w:eastAsia="zh-CN"/>
                    </w:rPr>
                    <w:t>80</w:t>
                  </w:r>
                </w:p>
              </w:tc>
              <w:tc>
                <w:tcPr>
                  <w:tcW w:w="433" w:type="pct"/>
                  <w:vMerge w:val="restart"/>
                  <w:tcBorders>
                    <w:tl2br w:val="nil"/>
                    <w:tr2bl w:val="nil"/>
                  </w:tcBorders>
                  <w:noWrap w:val="0"/>
                  <w:vAlign w:val="center"/>
                </w:tcPr>
                <w:p w14:paraId="6D8BA99C">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是</w:t>
                  </w:r>
                </w:p>
              </w:tc>
            </w:tr>
            <w:tr w14:paraId="707520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9" w:hRule="atLeast"/>
              </w:trPr>
              <w:tc>
                <w:tcPr>
                  <w:tcW w:w="236" w:type="pct"/>
                  <w:vMerge w:val="continue"/>
                  <w:tcBorders>
                    <w:tl2br w:val="nil"/>
                    <w:tr2bl w:val="nil"/>
                  </w:tcBorders>
                  <w:noWrap w:val="0"/>
                  <w:vAlign w:val="center"/>
                </w:tcPr>
                <w:p w14:paraId="73D76610">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rPr>
                  </w:pPr>
                </w:p>
              </w:tc>
              <w:tc>
                <w:tcPr>
                  <w:tcW w:w="471" w:type="pct"/>
                  <w:vMerge w:val="continue"/>
                  <w:tcBorders>
                    <w:tl2br w:val="nil"/>
                    <w:tr2bl w:val="nil"/>
                  </w:tcBorders>
                  <w:noWrap w:val="0"/>
                  <w:vAlign w:val="center"/>
                </w:tcPr>
                <w:p w14:paraId="55908213">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619" w:type="pct"/>
                  <w:tcBorders>
                    <w:tl2br w:val="nil"/>
                    <w:tr2bl w:val="nil"/>
                  </w:tcBorders>
                  <w:noWrap w:val="0"/>
                  <w:vAlign w:val="center"/>
                </w:tcPr>
                <w:p w14:paraId="0C51ABFC">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highlight w:val="none"/>
                      <w:vertAlign w:val="baseline"/>
                      <w:lang w:val="en-US" w:eastAsia="zh-CN" w:bidi="zh-CN"/>
                    </w:rPr>
                  </w:pPr>
                  <w:r>
                    <w:rPr>
                      <w:rFonts w:hint="default" w:ascii="Times New Roman" w:hAnsi="Times New Roman" w:eastAsia="宋体" w:cs="Times New Roman"/>
                      <w:color w:val="000000"/>
                      <w:sz w:val="21"/>
                      <w:szCs w:val="21"/>
                      <w:highlight w:val="none"/>
                    </w:rPr>
                    <w:t>BOD</w:t>
                  </w:r>
                  <w:r>
                    <w:rPr>
                      <w:rFonts w:hint="default" w:ascii="Times New Roman" w:hAnsi="Times New Roman" w:eastAsia="宋体" w:cs="Times New Roman"/>
                      <w:color w:val="000000"/>
                      <w:sz w:val="21"/>
                      <w:szCs w:val="21"/>
                      <w:highlight w:val="none"/>
                      <w:vertAlign w:val="subscript"/>
                    </w:rPr>
                    <w:t>5</w:t>
                  </w:r>
                </w:p>
              </w:tc>
              <w:tc>
                <w:tcPr>
                  <w:tcW w:w="436" w:type="pct"/>
                  <w:vMerge w:val="continue"/>
                  <w:tcBorders>
                    <w:tl2br w:val="nil"/>
                    <w:tr2bl w:val="nil"/>
                  </w:tcBorders>
                  <w:noWrap w:val="0"/>
                  <w:vAlign w:val="center"/>
                </w:tcPr>
                <w:p w14:paraId="3191D8FD">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540" w:type="pct"/>
                  <w:vMerge w:val="continue"/>
                  <w:tcBorders>
                    <w:tl2br w:val="nil"/>
                    <w:tr2bl w:val="nil"/>
                  </w:tcBorders>
                  <w:noWrap w:val="0"/>
                  <w:vAlign w:val="center"/>
                </w:tcPr>
                <w:p w14:paraId="7176C7FA">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750" w:type="pct"/>
                  <w:vMerge w:val="continue"/>
                  <w:tcBorders>
                    <w:tl2br w:val="nil"/>
                    <w:tr2bl w:val="nil"/>
                  </w:tcBorders>
                  <w:noWrap w:val="0"/>
                  <w:vAlign w:val="center"/>
                </w:tcPr>
                <w:p w14:paraId="642B1A38">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492" w:type="pct"/>
                  <w:vMerge w:val="continue"/>
                  <w:tcBorders>
                    <w:tl2br w:val="nil"/>
                    <w:tr2bl w:val="nil"/>
                  </w:tcBorders>
                  <w:noWrap w:val="0"/>
                  <w:vAlign w:val="center"/>
                </w:tcPr>
                <w:p w14:paraId="755E09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p>
              </w:tc>
              <w:tc>
                <w:tcPr>
                  <w:tcW w:w="465" w:type="pct"/>
                  <w:vMerge w:val="continue"/>
                  <w:tcBorders>
                    <w:tl2br w:val="nil"/>
                    <w:tr2bl w:val="nil"/>
                  </w:tcBorders>
                  <w:noWrap w:val="0"/>
                  <w:vAlign w:val="center"/>
                </w:tcPr>
                <w:p w14:paraId="2FD856B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555" w:type="pct"/>
                  <w:tcBorders>
                    <w:tl2br w:val="nil"/>
                    <w:tr2bl w:val="nil"/>
                  </w:tcBorders>
                  <w:noWrap w:val="0"/>
                  <w:vAlign w:val="center"/>
                </w:tcPr>
                <w:p w14:paraId="26EF42F0">
                  <w:pPr>
                    <w:pStyle w:val="1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eastAsia="宋体" w:cs="Times New Roman"/>
                      <w:color w:val="000000"/>
                      <w:sz w:val="21"/>
                      <w:szCs w:val="21"/>
                      <w:highlight w:val="none"/>
                      <w:vertAlign w:val="baseline"/>
                      <w:lang w:val="en-US" w:eastAsia="zh-CN"/>
                    </w:rPr>
                    <w:t>53</w:t>
                  </w:r>
                </w:p>
              </w:tc>
              <w:tc>
                <w:tcPr>
                  <w:tcW w:w="433" w:type="pct"/>
                  <w:vMerge w:val="continue"/>
                  <w:tcBorders>
                    <w:tl2br w:val="nil"/>
                    <w:tr2bl w:val="nil"/>
                  </w:tcBorders>
                  <w:noWrap w:val="0"/>
                  <w:vAlign w:val="center"/>
                </w:tcPr>
                <w:p w14:paraId="59D8B9B0">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p>
              </w:tc>
            </w:tr>
            <w:tr w14:paraId="196781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9" w:hRule="atLeast"/>
              </w:trPr>
              <w:tc>
                <w:tcPr>
                  <w:tcW w:w="236" w:type="pct"/>
                  <w:vMerge w:val="continue"/>
                  <w:tcBorders>
                    <w:tl2br w:val="nil"/>
                    <w:tr2bl w:val="nil"/>
                  </w:tcBorders>
                  <w:noWrap w:val="0"/>
                  <w:vAlign w:val="center"/>
                </w:tcPr>
                <w:p w14:paraId="1B8C7D93">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rPr>
                  </w:pPr>
                </w:p>
              </w:tc>
              <w:tc>
                <w:tcPr>
                  <w:tcW w:w="471" w:type="pct"/>
                  <w:vMerge w:val="continue"/>
                  <w:tcBorders>
                    <w:tl2br w:val="nil"/>
                    <w:tr2bl w:val="nil"/>
                  </w:tcBorders>
                  <w:noWrap w:val="0"/>
                  <w:vAlign w:val="center"/>
                </w:tcPr>
                <w:p w14:paraId="762496C9">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619" w:type="pct"/>
                  <w:tcBorders>
                    <w:tl2br w:val="nil"/>
                    <w:tr2bl w:val="nil"/>
                  </w:tcBorders>
                  <w:noWrap w:val="0"/>
                  <w:vAlign w:val="center"/>
                </w:tcPr>
                <w:p w14:paraId="0EF97B0E">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highlight w:val="none"/>
                      <w:vertAlign w:val="baseline"/>
                      <w:lang w:val="en-US" w:eastAsia="zh-CN" w:bidi="zh-CN"/>
                    </w:rPr>
                  </w:pPr>
                  <w:r>
                    <w:rPr>
                      <w:rFonts w:hint="default" w:ascii="Times New Roman" w:hAnsi="Times New Roman" w:eastAsia="宋体" w:cs="Times New Roman"/>
                      <w:color w:val="000000"/>
                      <w:sz w:val="21"/>
                      <w:szCs w:val="21"/>
                      <w:highlight w:val="none"/>
                      <w:lang w:val="en-US" w:eastAsia="zh-CN"/>
                    </w:rPr>
                    <w:t>SS</w:t>
                  </w:r>
                </w:p>
              </w:tc>
              <w:tc>
                <w:tcPr>
                  <w:tcW w:w="436" w:type="pct"/>
                  <w:vMerge w:val="continue"/>
                  <w:tcBorders>
                    <w:tl2br w:val="nil"/>
                    <w:tr2bl w:val="nil"/>
                  </w:tcBorders>
                  <w:noWrap w:val="0"/>
                  <w:vAlign w:val="center"/>
                </w:tcPr>
                <w:p w14:paraId="64170BE3">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540" w:type="pct"/>
                  <w:vMerge w:val="continue"/>
                  <w:tcBorders>
                    <w:tl2br w:val="nil"/>
                    <w:tr2bl w:val="nil"/>
                  </w:tcBorders>
                  <w:noWrap w:val="0"/>
                  <w:vAlign w:val="center"/>
                </w:tcPr>
                <w:p w14:paraId="1C91442B">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750" w:type="pct"/>
                  <w:vMerge w:val="continue"/>
                  <w:tcBorders>
                    <w:tl2br w:val="nil"/>
                    <w:tr2bl w:val="nil"/>
                  </w:tcBorders>
                  <w:noWrap w:val="0"/>
                  <w:vAlign w:val="center"/>
                </w:tcPr>
                <w:p w14:paraId="5C973D0E">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492" w:type="pct"/>
                  <w:vMerge w:val="continue"/>
                  <w:tcBorders>
                    <w:tl2br w:val="nil"/>
                    <w:tr2bl w:val="nil"/>
                  </w:tcBorders>
                  <w:noWrap w:val="0"/>
                  <w:vAlign w:val="center"/>
                </w:tcPr>
                <w:p w14:paraId="17D0FE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p>
              </w:tc>
              <w:tc>
                <w:tcPr>
                  <w:tcW w:w="465" w:type="pct"/>
                  <w:vMerge w:val="continue"/>
                  <w:tcBorders>
                    <w:tl2br w:val="nil"/>
                    <w:tr2bl w:val="nil"/>
                  </w:tcBorders>
                  <w:noWrap w:val="0"/>
                  <w:vAlign w:val="center"/>
                </w:tcPr>
                <w:p w14:paraId="6A85456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555" w:type="pct"/>
                  <w:tcBorders>
                    <w:tl2br w:val="nil"/>
                    <w:tr2bl w:val="nil"/>
                  </w:tcBorders>
                  <w:noWrap w:val="0"/>
                  <w:vAlign w:val="center"/>
                </w:tcPr>
                <w:p w14:paraId="3F8F6CF0">
                  <w:pPr>
                    <w:pStyle w:val="1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eastAsia="宋体" w:cs="Times New Roman"/>
                      <w:color w:val="000000"/>
                      <w:sz w:val="21"/>
                      <w:szCs w:val="21"/>
                      <w:highlight w:val="none"/>
                      <w:vertAlign w:val="baseline"/>
                      <w:lang w:val="en-US" w:eastAsia="zh-CN"/>
                    </w:rPr>
                    <w:t>58</w:t>
                  </w:r>
                </w:p>
              </w:tc>
              <w:tc>
                <w:tcPr>
                  <w:tcW w:w="433" w:type="pct"/>
                  <w:vMerge w:val="continue"/>
                  <w:tcBorders>
                    <w:tl2br w:val="nil"/>
                    <w:tr2bl w:val="nil"/>
                  </w:tcBorders>
                  <w:noWrap w:val="0"/>
                  <w:vAlign w:val="center"/>
                </w:tcPr>
                <w:p w14:paraId="163A0963">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p>
              </w:tc>
            </w:tr>
            <w:tr w14:paraId="12A99A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9" w:hRule="atLeast"/>
              </w:trPr>
              <w:tc>
                <w:tcPr>
                  <w:tcW w:w="236" w:type="pct"/>
                  <w:vMerge w:val="continue"/>
                  <w:tcBorders>
                    <w:tl2br w:val="nil"/>
                    <w:tr2bl w:val="nil"/>
                  </w:tcBorders>
                  <w:noWrap w:val="0"/>
                  <w:vAlign w:val="center"/>
                </w:tcPr>
                <w:p w14:paraId="49EB4A1A">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rPr>
                  </w:pPr>
                </w:p>
              </w:tc>
              <w:tc>
                <w:tcPr>
                  <w:tcW w:w="471" w:type="pct"/>
                  <w:vMerge w:val="continue"/>
                  <w:tcBorders>
                    <w:tl2br w:val="nil"/>
                    <w:tr2bl w:val="nil"/>
                  </w:tcBorders>
                  <w:noWrap w:val="0"/>
                  <w:vAlign w:val="center"/>
                </w:tcPr>
                <w:p w14:paraId="5725DDED">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619" w:type="pct"/>
                  <w:tcBorders>
                    <w:tl2br w:val="nil"/>
                    <w:tr2bl w:val="nil"/>
                  </w:tcBorders>
                  <w:noWrap w:val="0"/>
                  <w:vAlign w:val="center"/>
                </w:tcPr>
                <w:p w14:paraId="1899F27F">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highlight w:val="none"/>
                      <w:lang w:val="en-US" w:eastAsia="zh-CN" w:bidi="zh-CN"/>
                    </w:rPr>
                  </w:pPr>
                  <w:r>
                    <w:rPr>
                      <w:rFonts w:hint="default" w:ascii="Times New Roman" w:hAnsi="Times New Roman" w:eastAsia="宋体" w:cs="Times New Roman"/>
                      <w:color w:val="000000"/>
                      <w:sz w:val="21"/>
                      <w:szCs w:val="21"/>
                      <w:highlight w:val="none"/>
                      <w:lang w:val="en-US" w:eastAsia="zh-CN"/>
                    </w:rPr>
                    <w:t>NH</w:t>
                  </w:r>
                  <w:r>
                    <w:rPr>
                      <w:rFonts w:hint="default" w:ascii="Times New Roman" w:hAnsi="Times New Roman" w:eastAsia="宋体" w:cs="Times New Roman"/>
                      <w:color w:val="000000"/>
                      <w:sz w:val="21"/>
                      <w:szCs w:val="21"/>
                      <w:highlight w:val="none"/>
                      <w:vertAlign w:val="subscript"/>
                      <w:lang w:val="en-US" w:eastAsia="zh-CN"/>
                    </w:rPr>
                    <w:t>3</w:t>
                  </w:r>
                  <w:r>
                    <w:rPr>
                      <w:rFonts w:hint="default" w:ascii="Times New Roman" w:hAnsi="Times New Roman" w:eastAsia="宋体" w:cs="Times New Roman"/>
                      <w:color w:val="000000"/>
                      <w:sz w:val="21"/>
                      <w:szCs w:val="21"/>
                      <w:highlight w:val="none"/>
                      <w:vertAlign w:val="baseline"/>
                      <w:lang w:val="en-US" w:eastAsia="zh-CN"/>
                    </w:rPr>
                    <w:t>-N</w:t>
                  </w:r>
                </w:p>
              </w:tc>
              <w:tc>
                <w:tcPr>
                  <w:tcW w:w="436" w:type="pct"/>
                  <w:vMerge w:val="continue"/>
                  <w:tcBorders>
                    <w:tl2br w:val="nil"/>
                    <w:tr2bl w:val="nil"/>
                  </w:tcBorders>
                  <w:noWrap w:val="0"/>
                  <w:vAlign w:val="center"/>
                </w:tcPr>
                <w:p w14:paraId="56A74A93">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540" w:type="pct"/>
                  <w:vMerge w:val="continue"/>
                  <w:tcBorders>
                    <w:tl2br w:val="nil"/>
                    <w:tr2bl w:val="nil"/>
                  </w:tcBorders>
                  <w:noWrap w:val="0"/>
                  <w:vAlign w:val="center"/>
                </w:tcPr>
                <w:p w14:paraId="51A06C3E">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750" w:type="pct"/>
                  <w:vMerge w:val="continue"/>
                  <w:tcBorders>
                    <w:tl2br w:val="nil"/>
                    <w:tr2bl w:val="nil"/>
                  </w:tcBorders>
                  <w:noWrap w:val="0"/>
                  <w:vAlign w:val="center"/>
                </w:tcPr>
                <w:p w14:paraId="2F67C9AB">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492" w:type="pct"/>
                  <w:vMerge w:val="continue"/>
                  <w:tcBorders>
                    <w:tl2br w:val="nil"/>
                    <w:tr2bl w:val="nil"/>
                  </w:tcBorders>
                  <w:noWrap w:val="0"/>
                  <w:vAlign w:val="center"/>
                </w:tcPr>
                <w:p w14:paraId="79A586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p>
              </w:tc>
              <w:tc>
                <w:tcPr>
                  <w:tcW w:w="465" w:type="pct"/>
                  <w:vMerge w:val="continue"/>
                  <w:tcBorders>
                    <w:tl2br w:val="nil"/>
                    <w:tr2bl w:val="nil"/>
                  </w:tcBorders>
                  <w:noWrap w:val="0"/>
                  <w:vAlign w:val="center"/>
                </w:tcPr>
                <w:p w14:paraId="2845061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555" w:type="pct"/>
                  <w:tcBorders>
                    <w:tl2br w:val="nil"/>
                    <w:tr2bl w:val="nil"/>
                  </w:tcBorders>
                  <w:noWrap w:val="0"/>
                  <w:vAlign w:val="center"/>
                </w:tcPr>
                <w:p w14:paraId="6E71A167">
                  <w:pPr>
                    <w:pStyle w:val="1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eastAsia="宋体" w:cs="Times New Roman"/>
                      <w:color w:val="000000"/>
                      <w:sz w:val="21"/>
                      <w:szCs w:val="21"/>
                      <w:highlight w:val="none"/>
                      <w:vertAlign w:val="baseline"/>
                      <w:lang w:val="en-US" w:eastAsia="zh-CN"/>
                    </w:rPr>
                    <w:t>70</w:t>
                  </w:r>
                </w:p>
              </w:tc>
              <w:tc>
                <w:tcPr>
                  <w:tcW w:w="433" w:type="pct"/>
                  <w:vMerge w:val="continue"/>
                  <w:tcBorders>
                    <w:tl2br w:val="nil"/>
                    <w:tr2bl w:val="nil"/>
                  </w:tcBorders>
                  <w:noWrap w:val="0"/>
                  <w:vAlign w:val="center"/>
                </w:tcPr>
                <w:p w14:paraId="6FDD6435">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p>
              </w:tc>
            </w:tr>
            <w:tr w14:paraId="27F525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9" w:hRule="atLeast"/>
              </w:trPr>
              <w:tc>
                <w:tcPr>
                  <w:tcW w:w="236" w:type="pct"/>
                  <w:vMerge w:val="continue"/>
                  <w:tcBorders>
                    <w:tl2br w:val="nil"/>
                    <w:tr2bl w:val="nil"/>
                  </w:tcBorders>
                  <w:noWrap w:val="0"/>
                  <w:vAlign w:val="center"/>
                </w:tcPr>
                <w:p w14:paraId="3B70E922">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rPr>
                  </w:pPr>
                </w:p>
              </w:tc>
              <w:tc>
                <w:tcPr>
                  <w:tcW w:w="471" w:type="pct"/>
                  <w:vMerge w:val="continue"/>
                  <w:tcBorders>
                    <w:tl2br w:val="nil"/>
                    <w:tr2bl w:val="nil"/>
                  </w:tcBorders>
                  <w:noWrap w:val="0"/>
                  <w:vAlign w:val="center"/>
                </w:tcPr>
                <w:p w14:paraId="068971BF">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619" w:type="pct"/>
                  <w:tcBorders>
                    <w:tl2br w:val="nil"/>
                    <w:tr2bl w:val="nil"/>
                  </w:tcBorders>
                  <w:noWrap w:val="0"/>
                  <w:vAlign w:val="center"/>
                </w:tcPr>
                <w:p w14:paraId="4FF04E22">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色度</w:t>
                  </w:r>
                </w:p>
              </w:tc>
              <w:tc>
                <w:tcPr>
                  <w:tcW w:w="436" w:type="pct"/>
                  <w:vMerge w:val="continue"/>
                  <w:tcBorders>
                    <w:tl2br w:val="nil"/>
                    <w:tr2bl w:val="nil"/>
                  </w:tcBorders>
                  <w:noWrap w:val="0"/>
                  <w:vAlign w:val="center"/>
                </w:tcPr>
                <w:p w14:paraId="2ABA875D">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540" w:type="pct"/>
                  <w:vMerge w:val="continue"/>
                  <w:tcBorders>
                    <w:tl2br w:val="nil"/>
                    <w:tr2bl w:val="nil"/>
                  </w:tcBorders>
                  <w:noWrap w:val="0"/>
                  <w:vAlign w:val="center"/>
                </w:tcPr>
                <w:p w14:paraId="6CA4D591">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750" w:type="pct"/>
                  <w:vMerge w:val="continue"/>
                  <w:tcBorders>
                    <w:tl2br w:val="nil"/>
                    <w:tr2bl w:val="nil"/>
                  </w:tcBorders>
                  <w:noWrap w:val="0"/>
                  <w:vAlign w:val="center"/>
                </w:tcPr>
                <w:p w14:paraId="7B3A72AA">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492" w:type="pct"/>
                  <w:vMerge w:val="continue"/>
                  <w:tcBorders>
                    <w:tl2br w:val="nil"/>
                    <w:tr2bl w:val="nil"/>
                  </w:tcBorders>
                  <w:noWrap w:val="0"/>
                  <w:vAlign w:val="center"/>
                </w:tcPr>
                <w:p w14:paraId="0AC75C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p>
              </w:tc>
              <w:tc>
                <w:tcPr>
                  <w:tcW w:w="465" w:type="pct"/>
                  <w:vMerge w:val="continue"/>
                  <w:tcBorders>
                    <w:tl2br w:val="nil"/>
                    <w:tr2bl w:val="nil"/>
                  </w:tcBorders>
                  <w:noWrap w:val="0"/>
                  <w:vAlign w:val="center"/>
                </w:tcPr>
                <w:p w14:paraId="2E33D49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555" w:type="pct"/>
                  <w:tcBorders>
                    <w:tl2br w:val="nil"/>
                    <w:tr2bl w:val="nil"/>
                  </w:tcBorders>
                  <w:noWrap w:val="0"/>
                  <w:vAlign w:val="center"/>
                </w:tcPr>
                <w:p w14:paraId="7B90083E">
                  <w:pPr>
                    <w:pStyle w:val="1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eastAsia="宋体" w:cs="Times New Roman"/>
                      <w:color w:val="000000"/>
                      <w:sz w:val="21"/>
                      <w:szCs w:val="21"/>
                      <w:highlight w:val="none"/>
                      <w:vertAlign w:val="baseline"/>
                      <w:lang w:val="en-US" w:eastAsia="zh-CN"/>
                    </w:rPr>
                    <w:t>99</w:t>
                  </w:r>
                </w:p>
              </w:tc>
              <w:tc>
                <w:tcPr>
                  <w:tcW w:w="433" w:type="pct"/>
                  <w:vMerge w:val="continue"/>
                  <w:tcBorders>
                    <w:tl2br w:val="nil"/>
                    <w:tr2bl w:val="nil"/>
                  </w:tcBorders>
                  <w:noWrap w:val="0"/>
                  <w:vAlign w:val="center"/>
                </w:tcPr>
                <w:p w14:paraId="32DFD5CE">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p>
              </w:tc>
            </w:tr>
            <w:bookmarkEnd w:id="35"/>
            <w:bookmarkEnd w:id="36"/>
            <w:bookmarkEnd w:id="37"/>
            <w:bookmarkEnd w:id="38"/>
            <w:bookmarkEnd w:id="39"/>
            <w:bookmarkEnd w:id="40"/>
            <w:bookmarkEnd w:id="41"/>
            <w:bookmarkEnd w:id="42"/>
            <w:bookmarkEnd w:id="43"/>
            <w:bookmarkEnd w:id="44"/>
            <w:bookmarkEnd w:id="45"/>
            <w:bookmarkEnd w:id="46"/>
            <w:bookmarkEnd w:id="47"/>
          </w:tbl>
          <w:p w14:paraId="263F7F92">
            <w:pPr>
              <w:pStyle w:val="16"/>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outlineLvl w:val="9"/>
              <w:rPr>
                <w:rFonts w:hint="default" w:ascii="Times New Roman" w:hAnsi="Times New Roman" w:eastAsia="宋体" w:cs="Times New Roman"/>
                <w:b/>
                <w:bCs/>
                <w:color w:val="000000"/>
                <w:sz w:val="24"/>
                <w:szCs w:val="24"/>
                <w:highlight w:val="none"/>
              </w:rPr>
            </w:pPr>
            <w:bookmarkStart w:id="48" w:name="_Toc30648"/>
            <w:bookmarkStart w:id="49" w:name="_Toc18893"/>
            <w:bookmarkStart w:id="50" w:name="_Toc5567"/>
            <w:bookmarkStart w:id="51" w:name="_Toc4987"/>
            <w:bookmarkStart w:id="52" w:name="_Toc12692"/>
            <w:bookmarkStart w:id="53" w:name="_Toc32359"/>
            <w:bookmarkStart w:id="54" w:name="_Toc23061"/>
            <w:bookmarkStart w:id="55" w:name="_Toc4901"/>
            <w:bookmarkStart w:id="56" w:name="_Toc15883"/>
            <w:bookmarkStart w:id="57" w:name="_Toc11346"/>
            <w:bookmarkStart w:id="58" w:name="_Toc12119"/>
            <w:bookmarkStart w:id="59" w:name="_Toc7681"/>
            <w:r>
              <w:rPr>
                <w:rFonts w:hint="default" w:ascii="Times New Roman" w:hAnsi="Times New Roman" w:eastAsia="宋体" w:cs="Times New Roman"/>
                <w:b/>
                <w:bCs/>
                <w:color w:val="000000"/>
                <w:sz w:val="24"/>
                <w:szCs w:val="24"/>
                <w:highlight w:val="none"/>
              </w:rPr>
              <w:t>表4-</w:t>
            </w:r>
            <w:r>
              <w:rPr>
                <w:rFonts w:hint="eastAsia" w:ascii="Times New Roman" w:hAnsi="Times New Roman" w:eastAsia="宋体" w:cs="Times New Roman"/>
                <w:b/>
                <w:bCs/>
                <w:color w:val="000000"/>
                <w:sz w:val="24"/>
                <w:szCs w:val="24"/>
                <w:highlight w:val="none"/>
                <w:lang w:val="en-US" w:eastAsia="zh-CN"/>
              </w:rPr>
              <w:t>1</w:t>
            </w:r>
            <w:r>
              <w:rPr>
                <w:rFonts w:hint="eastAsia" w:ascii="Times New Roman" w:eastAsia="宋体" w:cs="Times New Roman"/>
                <w:b/>
                <w:bCs/>
                <w:color w:val="000000"/>
                <w:sz w:val="24"/>
                <w:szCs w:val="24"/>
                <w:highlight w:val="none"/>
                <w:lang w:val="en-US" w:eastAsia="zh-CN"/>
              </w:rPr>
              <w:t>5</w:t>
            </w:r>
            <w:r>
              <w:rPr>
                <w:rFonts w:hint="default" w:ascii="Times New Roman" w:hAnsi="Times New Roman" w:eastAsia="宋体" w:cs="Times New Roman"/>
                <w:b/>
                <w:bCs/>
                <w:color w:val="000000"/>
                <w:sz w:val="24"/>
                <w:szCs w:val="24"/>
                <w:highlight w:val="none"/>
                <w:lang w:eastAsia="zh-CN"/>
              </w:rPr>
              <w:t>废水</w:t>
            </w:r>
            <w:r>
              <w:rPr>
                <w:rFonts w:hint="eastAsia" w:ascii="Times New Roman" w:hAnsi="Times New Roman" w:eastAsia="宋体" w:cs="Times New Roman"/>
                <w:b/>
                <w:bCs/>
                <w:color w:val="000000"/>
                <w:sz w:val="24"/>
                <w:szCs w:val="24"/>
                <w:highlight w:val="none"/>
                <w:lang w:eastAsia="zh-CN"/>
              </w:rPr>
              <w:t>纳入污水厂排放核算结果</w:t>
            </w:r>
            <w:r>
              <w:rPr>
                <w:rFonts w:hint="default" w:ascii="Times New Roman" w:hAnsi="Times New Roman" w:eastAsia="宋体" w:cs="Times New Roman"/>
                <w:b/>
                <w:bCs/>
                <w:color w:val="000000"/>
                <w:sz w:val="24"/>
                <w:szCs w:val="24"/>
                <w:highlight w:val="none"/>
              </w:rPr>
              <w:t>一览表</w:t>
            </w:r>
            <w:bookmarkEnd w:id="48"/>
            <w:bookmarkEnd w:id="49"/>
            <w:bookmarkEnd w:id="50"/>
            <w:bookmarkEnd w:id="51"/>
            <w:bookmarkEnd w:id="52"/>
            <w:bookmarkEnd w:id="53"/>
            <w:bookmarkEnd w:id="54"/>
            <w:bookmarkEnd w:id="55"/>
            <w:bookmarkEnd w:id="56"/>
            <w:bookmarkEnd w:id="57"/>
            <w:bookmarkEnd w:id="58"/>
            <w:bookmarkEnd w:id="59"/>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42"/>
              <w:gridCol w:w="911"/>
              <w:gridCol w:w="701"/>
              <w:gridCol w:w="1177"/>
              <w:gridCol w:w="977"/>
              <w:gridCol w:w="1086"/>
              <w:gridCol w:w="1061"/>
              <w:gridCol w:w="1067"/>
            </w:tblGrid>
            <w:tr w14:paraId="481581F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8" w:type="pct"/>
                  <w:vMerge w:val="restart"/>
                  <w:tcBorders>
                    <w:tl2br w:val="nil"/>
                    <w:tr2bl w:val="nil"/>
                  </w:tcBorders>
                  <w:noWrap w:val="0"/>
                  <w:vAlign w:val="center"/>
                </w:tcPr>
                <w:p w14:paraId="6B2D44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污染源</w:t>
                  </w:r>
                </w:p>
              </w:tc>
              <w:tc>
                <w:tcPr>
                  <w:tcW w:w="582" w:type="pct"/>
                  <w:vMerge w:val="restart"/>
                  <w:tcBorders>
                    <w:tl2br w:val="nil"/>
                    <w:tr2bl w:val="nil"/>
                  </w:tcBorders>
                  <w:noWrap w:val="0"/>
                  <w:vAlign w:val="center"/>
                </w:tcPr>
                <w:p w14:paraId="344491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污染物</w:t>
                  </w:r>
                </w:p>
              </w:tc>
              <w:tc>
                <w:tcPr>
                  <w:tcW w:w="448" w:type="pct"/>
                  <w:vMerge w:val="restart"/>
                  <w:tcBorders>
                    <w:tl2br w:val="nil"/>
                    <w:tr2bl w:val="nil"/>
                  </w:tcBorders>
                  <w:noWrap w:val="0"/>
                  <w:vAlign w:val="center"/>
                </w:tcPr>
                <w:p w14:paraId="5A7D69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污水厂名称</w:t>
                  </w:r>
                </w:p>
              </w:tc>
              <w:tc>
                <w:tcPr>
                  <w:tcW w:w="752" w:type="pct"/>
                  <w:vMerge w:val="restart"/>
                  <w:tcBorders>
                    <w:tl2br w:val="nil"/>
                    <w:tr2bl w:val="nil"/>
                  </w:tcBorders>
                  <w:noWrap w:val="0"/>
                  <w:vAlign w:val="center"/>
                </w:tcPr>
                <w:p w14:paraId="63EEBA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治理措施工艺</w:t>
                  </w:r>
                </w:p>
              </w:tc>
              <w:tc>
                <w:tcPr>
                  <w:tcW w:w="1996" w:type="pct"/>
                  <w:gridSpan w:val="3"/>
                  <w:tcBorders>
                    <w:tl2br w:val="nil"/>
                    <w:tr2bl w:val="nil"/>
                  </w:tcBorders>
                  <w:noWrap w:val="0"/>
                  <w:vAlign w:val="center"/>
                </w:tcPr>
                <w:p w14:paraId="622FFD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污染物排放</w:t>
                  </w:r>
                </w:p>
              </w:tc>
              <w:tc>
                <w:tcPr>
                  <w:tcW w:w="682" w:type="pct"/>
                  <w:vMerge w:val="restart"/>
                  <w:tcBorders>
                    <w:tl2br w:val="nil"/>
                    <w:tr2bl w:val="nil"/>
                  </w:tcBorders>
                  <w:noWrap w:val="0"/>
                  <w:vAlign w:val="center"/>
                </w:tcPr>
                <w:p w14:paraId="593404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最终排放去向</w:t>
                  </w:r>
                </w:p>
              </w:tc>
            </w:tr>
            <w:tr w14:paraId="44B5DF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8" w:type="pct"/>
                  <w:vMerge w:val="continue"/>
                  <w:tcBorders>
                    <w:tl2br w:val="nil"/>
                    <w:tr2bl w:val="nil"/>
                  </w:tcBorders>
                  <w:noWrap w:val="0"/>
                  <w:vAlign w:val="center"/>
                </w:tcPr>
                <w:p w14:paraId="762B54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rPr>
                  </w:pPr>
                </w:p>
              </w:tc>
              <w:tc>
                <w:tcPr>
                  <w:tcW w:w="582" w:type="pct"/>
                  <w:vMerge w:val="continue"/>
                  <w:tcBorders>
                    <w:tl2br w:val="nil"/>
                    <w:tr2bl w:val="nil"/>
                  </w:tcBorders>
                  <w:noWrap w:val="0"/>
                  <w:vAlign w:val="center"/>
                </w:tcPr>
                <w:p w14:paraId="4E13D91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rPr>
                  </w:pPr>
                </w:p>
              </w:tc>
              <w:tc>
                <w:tcPr>
                  <w:tcW w:w="448" w:type="pct"/>
                  <w:vMerge w:val="continue"/>
                  <w:tcBorders>
                    <w:tl2br w:val="nil"/>
                    <w:tr2bl w:val="nil"/>
                  </w:tcBorders>
                  <w:noWrap w:val="0"/>
                  <w:vAlign w:val="center"/>
                </w:tcPr>
                <w:p w14:paraId="182CE7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rPr>
                  </w:pPr>
                </w:p>
              </w:tc>
              <w:tc>
                <w:tcPr>
                  <w:tcW w:w="752" w:type="pct"/>
                  <w:vMerge w:val="continue"/>
                  <w:tcBorders>
                    <w:tl2br w:val="nil"/>
                    <w:tr2bl w:val="nil"/>
                  </w:tcBorders>
                  <w:noWrap w:val="0"/>
                  <w:vAlign w:val="center"/>
                </w:tcPr>
                <w:p w14:paraId="38BFCD5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rPr>
                  </w:pPr>
                </w:p>
              </w:tc>
              <w:tc>
                <w:tcPr>
                  <w:tcW w:w="624" w:type="pct"/>
                  <w:tcBorders>
                    <w:tl2br w:val="nil"/>
                    <w:tr2bl w:val="nil"/>
                  </w:tcBorders>
                  <w:noWrap w:val="0"/>
                  <w:vAlign w:val="center"/>
                </w:tcPr>
                <w:p w14:paraId="39152D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eastAsia="zh-CN"/>
                    </w:rPr>
                    <w:t>排放废水量</w:t>
                  </w:r>
                  <w:r>
                    <w:rPr>
                      <w:rFonts w:hint="default" w:ascii="Times New Roman" w:hAnsi="Times New Roman" w:eastAsia="宋体" w:cs="Times New Roman"/>
                      <w:color w:val="000000"/>
                      <w:sz w:val="21"/>
                      <w:szCs w:val="21"/>
                      <w:highlight w:val="none"/>
                      <w:lang w:val="en-US" w:eastAsia="zh-CN"/>
                    </w:rPr>
                    <w:t>(t</w:t>
                  </w:r>
                  <w:r>
                    <w:rPr>
                      <w:rFonts w:hint="default" w:ascii="Times New Roman" w:hAnsi="Times New Roman" w:eastAsia="宋体" w:cs="Times New Roman"/>
                      <w:color w:val="000000"/>
                      <w:sz w:val="21"/>
                      <w:szCs w:val="21"/>
                      <w:highlight w:val="none"/>
                      <w:vertAlign w:val="baseline"/>
                      <w:lang w:val="en-US" w:eastAsia="zh-CN"/>
                    </w:rPr>
                    <w:t>/</w:t>
                  </w:r>
                  <w:r>
                    <w:rPr>
                      <w:rFonts w:hint="eastAsia" w:ascii="Times New Roman" w:hAnsi="Times New Roman" w:eastAsia="宋体" w:cs="Times New Roman"/>
                      <w:color w:val="000000"/>
                      <w:sz w:val="21"/>
                      <w:szCs w:val="21"/>
                      <w:highlight w:val="none"/>
                      <w:vertAlign w:val="baseline"/>
                      <w:lang w:val="en-US" w:eastAsia="zh-CN"/>
                    </w:rPr>
                    <w:t>a</w:t>
                  </w:r>
                  <w:r>
                    <w:rPr>
                      <w:rFonts w:hint="default" w:ascii="Times New Roman" w:hAnsi="Times New Roman" w:eastAsia="宋体" w:cs="Times New Roman"/>
                      <w:color w:val="000000"/>
                      <w:sz w:val="21"/>
                      <w:szCs w:val="21"/>
                      <w:highlight w:val="none"/>
                      <w:vertAlign w:val="baseline"/>
                      <w:lang w:val="en-US" w:eastAsia="zh-CN"/>
                    </w:rPr>
                    <w:t>)</w:t>
                  </w:r>
                </w:p>
              </w:tc>
              <w:tc>
                <w:tcPr>
                  <w:tcW w:w="694" w:type="pct"/>
                  <w:tcBorders>
                    <w:tl2br w:val="nil"/>
                    <w:tr2bl w:val="nil"/>
                  </w:tcBorders>
                  <w:noWrap w:val="0"/>
                  <w:vAlign w:val="center"/>
                </w:tcPr>
                <w:p w14:paraId="2644CF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eastAsia="zh-CN"/>
                    </w:rPr>
                    <w:t>排放浓度</w:t>
                  </w:r>
                  <w:r>
                    <w:rPr>
                      <w:rFonts w:hint="default" w:ascii="Times New Roman" w:hAnsi="Times New Roman" w:eastAsia="宋体" w:cs="Times New Roman"/>
                      <w:color w:val="000000"/>
                      <w:sz w:val="21"/>
                      <w:szCs w:val="21"/>
                      <w:highlight w:val="none"/>
                      <w:lang w:val="en-US" w:eastAsia="zh-CN"/>
                    </w:rPr>
                    <w:t>(mg</w:t>
                  </w:r>
                  <w:r>
                    <w:rPr>
                      <w:rFonts w:hint="default" w:ascii="Times New Roman" w:hAnsi="Times New Roman" w:eastAsia="宋体" w:cs="Times New Roman"/>
                      <w:color w:val="000000"/>
                      <w:sz w:val="21"/>
                      <w:szCs w:val="21"/>
                      <w:highlight w:val="none"/>
                      <w:vertAlign w:val="baseline"/>
                      <w:lang w:val="en-US" w:eastAsia="zh-CN"/>
                    </w:rPr>
                    <w:t>/L)</w:t>
                  </w:r>
                </w:p>
              </w:tc>
              <w:tc>
                <w:tcPr>
                  <w:tcW w:w="678" w:type="pct"/>
                  <w:tcBorders>
                    <w:tl2br w:val="nil"/>
                    <w:tr2bl w:val="nil"/>
                  </w:tcBorders>
                  <w:noWrap w:val="0"/>
                  <w:vAlign w:val="center"/>
                </w:tcPr>
                <w:p w14:paraId="54C622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eastAsia="zh-CN"/>
                    </w:rPr>
                    <w:t>排放量</w:t>
                  </w:r>
                  <w:r>
                    <w:rPr>
                      <w:rFonts w:hint="default" w:ascii="Times New Roman" w:hAnsi="Times New Roman" w:eastAsia="宋体" w:cs="Times New Roman"/>
                      <w:color w:val="000000"/>
                      <w:sz w:val="21"/>
                      <w:szCs w:val="21"/>
                      <w:highlight w:val="none"/>
                      <w:lang w:val="en-US" w:eastAsia="zh-CN"/>
                    </w:rPr>
                    <w:t>(t/a</w:t>
                  </w:r>
                  <w:r>
                    <w:rPr>
                      <w:rFonts w:hint="default" w:ascii="Times New Roman" w:hAnsi="Times New Roman" w:eastAsia="宋体" w:cs="Times New Roman"/>
                      <w:color w:val="000000"/>
                      <w:sz w:val="21"/>
                      <w:szCs w:val="21"/>
                      <w:highlight w:val="none"/>
                      <w:vertAlign w:val="baseline"/>
                      <w:lang w:val="en-US" w:eastAsia="zh-CN"/>
                    </w:rPr>
                    <w:t>)</w:t>
                  </w:r>
                </w:p>
              </w:tc>
              <w:tc>
                <w:tcPr>
                  <w:tcW w:w="682" w:type="pct"/>
                  <w:vMerge w:val="continue"/>
                  <w:tcBorders>
                    <w:tl2br w:val="nil"/>
                    <w:tr2bl w:val="nil"/>
                  </w:tcBorders>
                  <w:noWrap w:val="0"/>
                  <w:vAlign w:val="center"/>
                </w:tcPr>
                <w:p w14:paraId="7E7CB8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eastAsia="zh-CN"/>
                    </w:rPr>
                  </w:pPr>
                </w:p>
              </w:tc>
            </w:tr>
            <w:tr w14:paraId="714741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8" w:type="pct"/>
                  <w:vMerge w:val="restart"/>
                  <w:tcBorders>
                    <w:tl2br w:val="nil"/>
                    <w:tr2bl w:val="nil"/>
                  </w:tcBorders>
                  <w:noWrap w:val="0"/>
                  <w:vAlign w:val="center"/>
                </w:tcPr>
                <w:p w14:paraId="0E660D9D">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综合废水</w:t>
                  </w:r>
                </w:p>
              </w:tc>
              <w:tc>
                <w:tcPr>
                  <w:tcW w:w="582" w:type="pct"/>
                  <w:tcBorders>
                    <w:tl2br w:val="nil"/>
                    <w:tr2bl w:val="nil"/>
                  </w:tcBorders>
                  <w:noWrap w:val="0"/>
                  <w:vAlign w:val="center"/>
                </w:tcPr>
                <w:p w14:paraId="1E2BF8C1">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bidi="zh-CN"/>
                    </w:rPr>
                  </w:pPr>
                  <w:r>
                    <w:rPr>
                      <w:rFonts w:hint="default" w:ascii="Times New Roman" w:hAnsi="Times New Roman" w:eastAsia="宋体" w:cs="Times New Roman"/>
                      <w:color w:val="000000"/>
                      <w:sz w:val="21"/>
                      <w:szCs w:val="21"/>
                      <w:highlight w:val="none"/>
                    </w:rPr>
                    <w:t>COD</w:t>
                  </w:r>
                </w:p>
              </w:tc>
              <w:tc>
                <w:tcPr>
                  <w:tcW w:w="448" w:type="pct"/>
                  <w:vMerge w:val="restart"/>
                  <w:tcBorders>
                    <w:tl2br w:val="nil"/>
                    <w:tr2bl w:val="nil"/>
                  </w:tcBorders>
                  <w:noWrap w:val="0"/>
                  <w:vAlign w:val="center"/>
                </w:tcPr>
                <w:p w14:paraId="4B021109">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晋江仙石</w:t>
                  </w:r>
                  <w:r>
                    <w:rPr>
                      <w:rFonts w:hint="default" w:ascii="Times New Roman" w:hAnsi="Times New Roman" w:eastAsia="宋体" w:cs="Times New Roman"/>
                      <w:color w:val="000000"/>
                      <w:sz w:val="21"/>
                      <w:szCs w:val="21"/>
                      <w:highlight w:val="none"/>
                      <w:lang w:eastAsia="zh-CN"/>
                    </w:rPr>
                    <w:t>污水处理厂</w:t>
                  </w:r>
                </w:p>
              </w:tc>
              <w:tc>
                <w:tcPr>
                  <w:tcW w:w="752" w:type="pct"/>
                  <w:vMerge w:val="restart"/>
                  <w:tcBorders>
                    <w:tl2br w:val="nil"/>
                    <w:tr2bl w:val="nil"/>
                  </w:tcBorders>
                  <w:noWrap w:val="0"/>
                  <w:vAlign w:val="center"/>
                </w:tcPr>
                <w:p w14:paraId="23B5AC2F">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AAO+MBR膜池</w:t>
                  </w:r>
                </w:p>
              </w:tc>
              <w:tc>
                <w:tcPr>
                  <w:tcW w:w="624" w:type="pct"/>
                  <w:vMerge w:val="restart"/>
                  <w:tcBorders>
                    <w:tl2br w:val="nil"/>
                    <w:tr2bl w:val="nil"/>
                  </w:tcBorders>
                  <w:noWrap w:val="0"/>
                  <w:vAlign w:val="center"/>
                </w:tcPr>
                <w:p w14:paraId="714F90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2970</w:t>
                  </w:r>
                </w:p>
              </w:tc>
              <w:tc>
                <w:tcPr>
                  <w:tcW w:w="694" w:type="pct"/>
                  <w:tcBorders>
                    <w:tl2br w:val="nil"/>
                    <w:tr2bl w:val="nil"/>
                  </w:tcBorders>
                  <w:noWrap w:val="0"/>
                  <w:vAlign w:val="center"/>
                </w:tcPr>
                <w:p w14:paraId="7C0525E9">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50</w:t>
                  </w:r>
                </w:p>
              </w:tc>
              <w:tc>
                <w:tcPr>
                  <w:tcW w:w="1061" w:type="dxa"/>
                  <w:tcBorders>
                    <w:tl2br w:val="nil"/>
                    <w:tr2bl w:val="nil"/>
                  </w:tcBorders>
                  <w:noWrap w:val="0"/>
                  <w:vAlign w:val="center"/>
                </w:tcPr>
                <w:p w14:paraId="376AE0E4">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0.1</w:t>
                  </w:r>
                  <w:r>
                    <w:rPr>
                      <w:rFonts w:hint="eastAsia" w:cs="Times New Roman"/>
                      <w:color w:val="000000"/>
                      <w:sz w:val="21"/>
                      <w:szCs w:val="21"/>
                      <w:highlight w:val="none"/>
                      <w:vertAlign w:val="baseline"/>
                      <w:lang w:val="en-US" w:eastAsia="zh-CN"/>
                    </w:rPr>
                    <w:t>49</w:t>
                  </w:r>
                </w:p>
              </w:tc>
              <w:tc>
                <w:tcPr>
                  <w:tcW w:w="682" w:type="pct"/>
                  <w:vMerge w:val="restart"/>
                  <w:tcBorders>
                    <w:tl2br w:val="nil"/>
                    <w:tr2bl w:val="nil"/>
                  </w:tcBorders>
                  <w:noWrap w:val="0"/>
                  <w:vAlign w:val="center"/>
                </w:tcPr>
                <w:p w14:paraId="2312DBBE">
                  <w:pPr>
                    <w:keepNext w:val="0"/>
                    <w:keepLines w:val="0"/>
                    <w:widowControl w:val="0"/>
                    <w:suppressLineNumbers w:val="0"/>
                    <w:jc w:val="center"/>
                    <w:textAlignment w:val="auto"/>
                    <w:outlineLvl w:val="9"/>
                    <w:rPr>
                      <w:rFonts w:hint="default" w:ascii="Times New Roman" w:hAnsi="Times New Roman" w:eastAsia="宋体" w:cs="Times New Roman"/>
                      <w:i w:val="0"/>
                      <w:iCs w:val="0"/>
                      <w:color w:val="000000"/>
                      <w:kern w:val="2"/>
                      <w:sz w:val="21"/>
                      <w:szCs w:val="21"/>
                      <w:highlight w:val="none"/>
                      <w:u w:val="none"/>
                      <w:lang w:val="zh-CN" w:eastAsia="zh-CN" w:bidi="zh-CN"/>
                    </w:rPr>
                  </w:pPr>
                  <w:r>
                    <w:rPr>
                      <w:rFonts w:hint="eastAsia" w:ascii="Times New Roman" w:hAnsi="Times New Roman" w:eastAsia="宋体" w:cs="Times New Roman"/>
                      <w:color w:val="000000"/>
                      <w:kern w:val="2"/>
                      <w:sz w:val="21"/>
                      <w:szCs w:val="21"/>
                      <w:highlight w:val="none"/>
                      <w:lang w:val="en-US" w:eastAsia="zh-CN" w:bidi="ar"/>
                    </w:rPr>
                    <w:t>晋江金鸡闸-鲟埔段</w:t>
                  </w:r>
                </w:p>
              </w:tc>
            </w:tr>
            <w:tr w14:paraId="07713B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8" w:type="pct"/>
                  <w:vMerge w:val="continue"/>
                  <w:tcBorders>
                    <w:tl2br w:val="nil"/>
                    <w:tr2bl w:val="nil"/>
                  </w:tcBorders>
                  <w:noWrap w:val="0"/>
                  <w:vAlign w:val="center"/>
                </w:tcPr>
                <w:p w14:paraId="55593F35">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582" w:type="pct"/>
                  <w:tcBorders>
                    <w:tl2br w:val="nil"/>
                    <w:tr2bl w:val="nil"/>
                  </w:tcBorders>
                  <w:noWrap w:val="0"/>
                  <w:vAlign w:val="center"/>
                </w:tcPr>
                <w:p w14:paraId="779A4CD0">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bidi="zh-CN"/>
                    </w:rPr>
                  </w:pPr>
                  <w:r>
                    <w:rPr>
                      <w:rFonts w:hint="default" w:ascii="Times New Roman" w:hAnsi="Times New Roman" w:eastAsia="宋体" w:cs="Times New Roman"/>
                      <w:color w:val="000000"/>
                      <w:sz w:val="21"/>
                      <w:szCs w:val="21"/>
                      <w:highlight w:val="none"/>
                    </w:rPr>
                    <w:t>BOD</w:t>
                  </w:r>
                  <w:r>
                    <w:rPr>
                      <w:rFonts w:hint="default" w:ascii="Times New Roman" w:hAnsi="Times New Roman" w:eastAsia="宋体" w:cs="Times New Roman"/>
                      <w:color w:val="000000"/>
                      <w:sz w:val="21"/>
                      <w:szCs w:val="21"/>
                      <w:highlight w:val="none"/>
                      <w:vertAlign w:val="subscript"/>
                    </w:rPr>
                    <w:t>5</w:t>
                  </w:r>
                </w:p>
              </w:tc>
              <w:tc>
                <w:tcPr>
                  <w:tcW w:w="448" w:type="pct"/>
                  <w:vMerge w:val="continue"/>
                  <w:tcBorders>
                    <w:tl2br w:val="nil"/>
                    <w:tr2bl w:val="nil"/>
                  </w:tcBorders>
                  <w:noWrap w:val="0"/>
                  <w:vAlign w:val="center"/>
                </w:tcPr>
                <w:p w14:paraId="39E60056">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752" w:type="pct"/>
                  <w:vMerge w:val="continue"/>
                  <w:tcBorders>
                    <w:tl2br w:val="nil"/>
                    <w:tr2bl w:val="nil"/>
                  </w:tcBorders>
                  <w:noWrap w:val="0"/>
                  <w:vAlign w:val="center"/>
                </w:tcPr>
                <w:p w14:paraId="7990B3DA">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p>
              </w:tc>
              <w:tc>
                <w:tcPr>
                  <w:tcW w:w="624" w:type="pct"/>
                  <w:vMerge w:val="continue"/>
                  <w:tcBorders>
                    <w:tl2br w:val="nil"/>
                    <w:tr2bl w:val="nil"/>
                  </w:tcBorders>
                  <w:noWrap w:val="0"/>
                  <w:vAlign w:val="center"/>
                </w:tcPr>
                <w:p w14:paraId="765E57A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694" w:type="pct"/>
                  <w:tcBorders>
                    <w:tl2br w:val="nil"/>
                    <w:tr2bl w:val="nil"/>
                  </w:tcBorders>
                  <w:noWrap w:val="0"/>
                  <w:vAlign w:val="center"/>
                </w:tcPr>
                <w:p w14:paraId="023FC63E">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061" w:type="dxa"/>
                  <w:tcBorders>
                    <w:tl2br w:val="nil"/>
                    <w:tr2bl w:val="nil"/>
                  </w:tcBorders>
                  <w:noWrap w:val="0"/>
                  <w:vAlign w:val="center"/>
                </w:tcPr>
                <w:p w14:paraId="2C9EC835">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0.</w:t>
                  </w:r>
                  <w:r>
                    <w:rPr>
                      <w:rFonts w:hint="eastAsia" w:cs="Times New Roman"/>
                      <w:color w:val="000000"/>
                      <w:sz w:val="21"/>
                      <w:szCs w:val="21"/>
                      <w:highlight w:val="none"/>
                      <w:vertAlign w:val="baseline"/>
                      <w:lang w:val="en-US" w:eastAsia="zh-CN"/>
                    </w:rPr>
                    <w:t>030</w:t>
                  </w:r>
                </w:p>
              </w:tc>
              <w:tc>
                <w:tcPr>
                  <w:tcW w:w="682" w:type="pct"/>
                  <w:vMerge w:val="continue"/>
                  <w:tcBorders>
                    <w:tl2br w:val="nil"/>
                    <w:tr2bl w:val="nil"/>
                  </w:tcBorders>
                  <w:noWrap w:val="0"/>
                  <w:vAlign w:val="center"/>
                </w:tcPr>
                <w:p w14:paraId="4D079122">
                  <w:pPr>
                    <w:keepNext w:val="0"/>
                    <w:keepLines w:val="0"/>
                    <w:widowControl w:val="0"/>
                    <w:suppressLineNumbers w:val="0"/>
                    <w:jc w:val="center"/>
                    <w:textAlignment w:val="auto"/>
                    <w:outlineLvl w:val="9"/>
                    <w:rPr>
                      <w:rFonts w:hint="default" w:ascii="Times New Roman" w:hAnsi="Times New Roman" w:eastAsia="宋体" w:cs="Times New Roman"/>
                      <w:i w:val="0"/>
                      <w:iCs w:val="0"/>
                      <w:color w:val="000000"/>
                      <w:kern w:val="2"/>
                      <w:sz w:val="21"/>
                      <w:szCs w:val="21"/>
                      <w:highlight w:val="none"/>
                      <w:u w:val="none"/>
                      <w:lang w:val="en-US" w:eastAsia="zh-CN" w:bidi="ar"/>
                    </w:rPr>
                  </w:pPr>
                </w:p>
              </w:tc>
            </w:tr>
            <w:tr w14:paraId="699805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8" w:type="pct"/>
                  <w:vMerge w:val="continue"/>
                  <w:tcBorders>
                    <w:tl2br w:val="nil"/>
                    <w:tr2bl w:val="nil"/>
                  </w:tcBorders>
                  <w:noWrap w:val="0"/>
                  <w:vAlign w:val="center"/>
                </w:tcPr>
                <w:p w14:paraId="3F82C2E6">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582" w:type="pct"/>
                  <w:tcBorders>
                    <w:tl2br w:val="nil"/>
                    <w:tr2bl w:val="nil"/>
                  </w:tcBorders>
                  <w:noWrap w:val="0"/>
                  <w:vAlign w:val="center"/>
                </w:tcPr>
                <w:p w14:paraId="0500EAED">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bidi="zh-CN"/>
                    </w:rPr>
                  </w:pPr>
                  <w:r>
                    <w:rPr>
                      <w:rFonts w:hint="default" w:ascii="Times New Roman" w:hAnsi="Times New Roman" w:eastAsia="宋体" w:cs="Times New Roman"/>
                      <w:color w:val="000000"/>
                      <w:sz w:val="21"/>
                      <w:szCs w:val="21"/>
                      <w:highlight w:val="none"/>
                      <w:lang w:val="en-US" w:eastAsia="zh-CN"/>
                    </w:rPr>
                    <w:t>SS</w:t>
                  </w:r>
                </w:p>
              </w:tc>
              <w:tc>
                <w:tcPr>
                  <w:tcW w:w="448" w:type="pct"/>
                  <w:vMerge w:val="continue"/>
                  <w:tcBorders>
                    <w:tl2br w:val="nil"/>
                    <w:tr2bl w:val="nil"/>
                  </w:tcBorders>
                  <w:noWrap w:val="0"/>
                  <w:vAlign w:val="center"/>
                </w:tcPr>
                <w:p w14:paraId="68A3045F">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752" w:type="pct"/>
                  <w:vMerge w:val="continue"/>
                  <w:tcBorders>
                    <w:tl2br w:val="nil"/>
                    <w:tr2bl w:val="nil"/>
                  </w:tcBorders>
                  <w:noWrap w:val="0"/>
                  <w:vAlign w:val="center"/>
                </w:tcPr>
                <w:p w14:paraId="7037E92A">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624" w:type="pct"/>
                  <w:vMerge w:val="continue"/>
                  <w:tcBorders>
                    <w:tl2br w:val="nil"/>
                    <w:tr2bl w:val="nil"/>
                  </w:tcBorders>
                  <w:noWrap w:val="0"/>
                  <w:vAlign w:val="center"/>
                </w:tcPr>
                <w:p w14:paraId="02DE439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694" w:type="pct"/>
                  <w:tcBorders>
                    <w:tl2br w:val="nil"/>
                    <w:tr2bl w:val="nil"/>
                  </w:tcBorders>
                  <w:noWrap w:val="0"/>
                  <w:vAlign w:val="center"/>
                </w:tcPr>
                <w:p w14:paraId="52C5B36F">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061" w:type="dxa"/>
                  <w:tcBorders>
                    <w:tl2br w:val="nil"/>
                    <w:tr2bl w:val="nil"/>
                  </w:tcBorders>
                  <w:noWrap w:val="0"/>
                  <w:vAlign w:val="center"/>
                </w:tcPr>
                <w:p w14:paraId="24EB8D62">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0.0</w:t>
                  </w:r>
                  <w:r>
                    <w:rPr>
                      <w:rFonts w:hint="eastAsia" w:cs="Times New Roman"/>
                      <w:color w:val="000000"/>
                      <w:sz w:val="21"/>
                      <w:szCs w:val="21"/>
                      <w:highlight w:val="none"/>
                      <w:vertAlign w:val="baseline"/>
                      <w:lang w:val="en-US" w:eastAsia="zh-CN"/>
                    </w:rPr>
                    <w:t>30</w:t>
                  </w:r>
                </w:p>
              </w:tc>
              <w:tc>
                <w:tcPr>
                  <w:tcW w:w="682" w:type="pct"/>
                  <w:vMerge w:val="continue"/>
                  <w:tcBorders>
                    <w:tl2br w:val="nil"/>
                    <w:tr2bl w:val="nil"/>
                  </w:tcBorders>
                  <w:noWrap w:val="0"/>
                  <w:vAlign w:val="center"/>
                </w:tcPr>
                <w:p w14:paraId="43D8422A">
                  <w:pPr>
                    <w:keepNext w:val="0"/>
                    <w:keepLines w:val="0"/>
                    <w:widowControl w:val="0"/>
                    <w:suppressLineNumbers w:val="0"/>
                    <w:jc w:val="center"/>
                    <w:textAlignment w:val="auto"/>
                    <w:outlineLvl w:val="9"/>
                    <w:rPr>
                      <w:rFonts w:hint="default" w:ascii="Times New Roman" w:hAnsi="Times New Roman" w:eastAsia="宋体" w:cs="Times New Roman"/>
                      <w:i w:val="0"/>
                      <w:iCs w:val="0"/>
                      <w:color w:val="000000"/>
                      <w:kern w:val="2"/>
                      <w:sz w:val="21"/>
                      <w:szCs w:val="21"/>
                      <w:highlight w:val="none"/>
                      <w:u w:val="none"/>
                      <w:lang w:val="en-US" w:eastAsia="zh-CN" w:bidi="ar"/>
                    </w:rPr>
                  </w:pPr>
                </w:p>
              </w:tc>
            </w:tr>
            <w:tr w14:paraId="158803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8" w:type="pct"/>
                  <w:vMerge w:val="continue"/>
                  <w:tcBorders>
                    <w:tl2br w:val="nil"/>
                    <w:tr2bl w:val="nil"/>
                  </w:tcBorders>
                  <w:noWrap w:val="0"/>
                  <w:vAlign w:val="center"/>
                </w:tcPr>
                <w:p w14:paraId="5192BDE5">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582" w:type="pct"/>
                  <w:tcBorders>
                    <w:tl2br w:val="nil"/>
                    <w:tr2bl w:val="nil"/>
                  </w:tcBorders>
                  <w:noWrap w:val="0"/>
                  <w:vAlign w:val="center"/>
                </w:tcPr>
                <w:p w14:paraId="55CA37B0">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bidi="zh-CN"/>
                    </w:rPr>
                  </w:pPr>
                  <w:r>
                    <w:rPr>
                      <w:rFonts w:hint="default" w:ascii="Times New Roman" w:hAnsi="Times New Roman" w:eastAsia="宋体" w:cs="Times New Roman"/>
                      <w:color w:val="000000"/>
                      <w:sz w:val="21"/>
                      <w:szCs w:val="21"/>
                      <w:highlight w:val="none"/>
                      <w:lang w:val="en-US" w:eastAsia="zh-CN"/>
                    </w:rPr>
                    <w:t>NH</w:t>
                  </w:r>
                  <w:r>
                    <w:rPr>
                      <w:rFonts w:hint="default" w:ascii="Times New Roman" w:hAnsi="Times New Roman" w:eastAsia="宋体" w:cs="Times New Roman"/>
                      <w:color w:val="000000"/>
                      <w:sz w:val="21"/>
                      <w:szCs w:val="21"/>
                      <w:highlight w:val="none"/>
                      <w:vertAlign w:val="subscript"/>
                      <w:lang w:val="en-US" w:eastAsia="zh-CN"/>
                    </w:rPr>
                    <w:t>3</w:t>
                  </w:r>
                  <w:r>
                    <w:rPr>
                      <w:rFonts w:hint="default" w:ascii="Times New Roman" w:hAnsi="Times New Roman" w:eastAsia="宋体" w:cs="Times New Roman"/>
                      <w:color w:val="000000"/>
                      <w:sz w:val="21"/>
                      <w:szCs w:val="21"/>
                      <w:highlight w:val="none"/>
                      <w:vertAlign w:val="baseline"/>
                      <w:lang w:val="en-US" w:eastAsia="zh-CN"/>
                    </w:rPr>
                    <w:t>-N</w:t>
                  </w:r>
                </w:p>
              </w:tc>
              <w:tc>
                <w:tcPr>
                  <w:tcW w:w="448" w:type="pct"/>
                  <w:vMerge w:val="continue"/>
                  <w:tcBorders>
                    <w:tl2br w:val="nil"/>
                    <w:tr2bl w:val="nil"/>
                  </w:tcBorders>
                  <w:noWrap w:val="0"/>
                  <w:vAlign w:val="center"/>
                </w:tcPr>
                <w:p w14:paraId="6D5A774B">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752" w:type="pct"/>
                  <w:vMerge w:val="continue"/>
                  <w:tcBorders>
                    <w:tl2br w:val="nil"/>
                    <w:tr2bl w:val="nil"/>
                  </w:tcBorders>
                  <w:noWrap w:val="0"/>
                  <w:vAlign w:val="center"/>
                </w:tcPr>
                <w:p w14:paraId="59F1D92B">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624" w:type="pct"/>
                  <w:vMerge w:val="continue"/>
                  <w:tcBorders>
                    <w:tl2br w:val="nil"/>
                    <w:tr2bl w:val="nil"/>
                  </w:tcBorders>
                  <w:noWrap w:val="0"/>
                  <w:vAlign w:val="center"/>
                </w:tcPr>
                <w:p w14:paraId="505B3E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694" w:type="pct"/>
                  <w:tcBorders>
                    <w:tl2br w:val="nil"/>
                    <w:tr2bl w:val="nil"/>
                  </w:tcBorders>
                  <w:noWrap w:val="0"/>
                  <w:vAlign w:val="center"/>
                </w:tcPr>
                <w:p w14:paraId="741115FF">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1061" w:type="dxa"/>
                  <w:tcBorders>
                    <w:tl2br w:val="nil"/>
                    <w:tr2bl w:val="nil"/>
                  </w:tcBorders>
                  <w:noWrap w:val="0"/>
                  <w:vAlign w:val="center"/>
                </w:tcPr>
                <w:p w14:paraId="565EA990">
                  <w:pPr>
                    <w:pStyle w:val="81"/>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0.0</w:t>
                  </w:r>
                  <w:r>
                    <w:rPr>
                      <w:rFonts w:hint="eastAsia" w:cs="Times New Roman"/>
                      <w:color w:val="000000"/>
                      <w:sz w:val="21"/>
                      <w:szCs w:val="21"/>
                      <w:highlight w:val="none"/>
                      <w:vertAlign w:val="baseline"/>
                      <w:lang w:val="en-US" w:eastAsia="zh-CN"/>
                    </w:rPr>
                    <w:t>15</w:t>
                  </w:r>
                </w:p>
              </w:tc>
              <w:tc>
                <w:tcPr>
                  <w:tcW w:w="682" w:type="pct"/>
                  <w:vMerge w:val="continue"/>
                  <w:tcBorders>
                    <w:tl2br w:val="nil"/>
                    <w:tr2bl w:val="nil"/>
                  </w:tcBorders>
                  <w:noWrap w:val="0"/>
                  <w:vAlign w:val="center"/>
                </w:tcPr>
                <w:p w14:paraId="7AF24F6C">
                  <w:pPr>
                    <w:keepNext w:val="0"/>
                    <w:keepLines w:val="0"/>
                    <w:widowControl w:val="0"/>
                    <w:suppressLineNumbers w:val="0"/>
                    <w:jc w:val="center"/>
                    <w:textAlignment w:val="auto"/>
                    <w:outlineLvl w:val="9"/>
                    <w:rPr>
                      <w:rFonts w:hint="default" w:ascii="Times New Roman" w:hAnsi="Times New Roman" w:eastAsia="宋体" w:cs="Times New Roman"/>
                      <w:i w:val="0"/>
                      <w:iCs w:val="0"/>
                      <w:color w:val="000000"/>
                      <w:kern w:val="2"/>
                      <w:sz w:val="21"/>
                      <w:szCs w:val="21"/>
                      <w:highlight w:val="none"/>
                      <w:u w:val="none"/>
                      <w:lang w:val="en-US" w:eastAsia="zh-CN" w:bidi="ar"/>
                    </w:rPr>
                  </w:pPr>
                </w:p>
              </w:tc>
            </w:tr>
            <w:tr w14:paraId="617BC1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8" w:type="pct"/>
                  <w:vMerge w:val="continue"/>
                  <w:tcBorders>
                    <w:tl2br w:val="nil"/>
                    <w:tr2bl w:val="nil"/>
                  </w:tcBorders>
                  <w:noWrap w:val="0"/>
                  <w:vAlign w:val="center"/>
                </w:tcPr>
                <w:p w14:paraId="5F22E7A5">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582" w:type="pct"/>
                  <w:tcBorders>
                    <w:tl2br w:val="nil"/>
                    <w:tr2bl w:val="nil"/>
                  </w:tcBorders>
                  <w:noWrap w:val="0"/>
                  <w:vAlign w:val="center"/>
                </w:tcPr>
                <w:p w14:paraId="6118B469">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色度</w:t>
                  </w:r>
                </w:p>
              </w:tc>
              <w:tc>
                <w:tcPr>
                  <w:tcW w:w="448" w:type="pct"/>
                  <w:vMerge w:val="continue"/>
                  <w:tcBorders>
                    <w:tl2br w:val="nil"/>
                    <w:tr2bl w:val="nil"/>
                  </w:tcBorders>
                  <w:noWrap w:val="0"/>
                  <w:vAlign w:val="center"/>
                </w:tcPr>
                <w:p w14:paraId="0DEA9C2E">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752" w:type="pct"/>
                  <w:vMerge w:val="continue"/>
                  <w:tcBorders>
                    <w:tl2br w:val="nil"/>
                    <w:tr2bl w:val="nil"/>
                  </w:tcBorders>
                  <w:noWrap w:val="0"/>
                  <w:vAlign w:val="center"/>
                </w:tcPr>
                <w:p w14:paraId="2300F595">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c>
                <w:tcPr>
                  <w:tcW w:w="624" w:type="pct"/>
                  <w:vMerge w:val="continue"/>
                  <w:tcBorders>
                    <w:tl2br w:val="nil"/>
                    <w:tr2bl w:val="nil"/>
                  </w:tcBorders>
                  <w:noWrap w:val="0"/>
                  <w:vAlign w:val="center"/>
                </w:tcPr>
                <w:p w14:paraId="37D2A9E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vertAlign w:val="baseline"/>
                      <w:lang w:eastAsia="zh-CN"/>
                    </w:rPr>
                  </w:pPr>
                </w:p>
              </w:tc>
              <w:tc>
                <w:tcPr>
                  <w:tcW w:w="694" w:type="pct"/>
                  <w:tcBorders>
                    <w:tl2br w:val="nil"/>
                    <w:tr2bl w:val="nil"/>
                  </w:tcBorders>
                  <w:noWrap w:val="0"/>
                  <w:vAlign w:val="center"/>
                </w:tcPr>
                <w:p w14:paraId="0E636F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30</w:t>
                  </w:r>
                </w:p>
              </w:tc>
              <w:tc>
                <w:tcPr>
                  <w:tcW w:w="678" w:type="pct"/>
                  <w:tcBorders>
                    <w:tl2br w:val="nil"/>
                    <w:tr2bl w:val="nil"/>
                  </w:tcBorders>
                  <w:noWrap w:val="0"/>
                  <w:vAlign w:val="center"/>
                </w:tcPr>
                <w:p w14:paraId="49DDDF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w:t>
                  </w:r>
                </w:p>
              </w:tc>
              <w:tc>
                <w:tcPr>
                  <w:tcW w:w="682" w:type="pct"/>
                  <w:vMerge w:val="continue"/>
                  <w:tcBorders>
                    <w:tl2br w:val="nil"/>
                    <w:tr2bl w:val="nil"/>
                  </w:tcBorders>
                  <w:noWrap w:val="0"/>
                  <w:vAlign w:val="center"/>
                </w:tcPr>
                <w:p w14:paraId="66377A71">
                  <w:pPr>
                    <w:keepNext w:val="0"/>
                    <w:keepLines w:val="0"/>
                    <w:widowControl w:val="0"/>
                    <w:suppressLineNumbers w:val="0"/>
                    <w:jc w:val="center"/>
                    <w:textAlignment w:val="auto"/>
                    <w:outlineLvl w:val="9"/>
                    <w:rPr>
                      <w:rFonts w:hint="default" w:ascii="Times New Roman" w:hAnsi="Times New Roman" w:eastAsia="宋体" w:cs="Times New Roman"/>
                      <w:i w:val="0"/>
                      <w:iCs w:val="0"/>
                      <w:color w:val="000000"/>
                      <w:kern w:val="2"/>
                      <w:sz w:val="21"/>
                      <w:szCs w:val="21"/>
                      <w:highlight w:val="none"/>
                      <w:u w:val="none"/>
                      <w:lang w:val="en-US" w:eastAsia="zh-CN" w:bidi="ar"/>
                    </w:rPr>
                  </w:pPr>
                </w:p>
              </w:tc>
            </w:tr>
          </w:tbl>
          <w:p w14:paraId="77EBD125">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color w:val="000000"/>
                <w:sz w:val="24"/>
                <w:szCs w:val="22"/>
                <w:highlight w:val="none"/>
              </w:rPr>
            </w:pPr>
            <w:r>
              <w:rPr>
                <w:rFonts w:hint="default" w:ascii="Times New Roman" w:hAnsi="Times New Roman" w:eastAsia="宋体" w:cs="Times New Roman"/>
                <w:b/>
                <w:bCs/>
                <w:color w:val="000000"/>
                <w:sz w:val="24"/>
                <w:szCs w:val="24"/>
                <w:highlight w:val="none"/>
              </w:rPr>
              <w:t>表4-</w:t>
            </w:r>
            <w:r>
              <w:rPr>
                <w:rFonts w:hint="eastAsia" w:ascii="Times New Roman" w:hAnsi="Times New Roman" w:eastAsia="宋体" w:cs="Times New Roman"/>
                <w:b/>
                <w:bCs/>
                <w:color w:val="000000"/>
                <w:sz w:val="24"/>
                <w:szCs w:val="24"/>
                <w:highlight w:val="none"/>
                <w:lang w:val="en-US" w:eastAsia="zh-CN"/>
              </w:rPr>
              <w:t>1</w:t>
            </w:r>
            <w:r>
              <w:rPr>
                <w:rFonts w:hint="eastAsia" w:cs="Times New Roman"/>
                <w:b/>
                <w:bCs/>
                <w:color w:val="000000"/>
                <w:sz w:val="24"/>
                <w:szCs w:val="24"/>
                <w:highlight w:val="none"/>
                <w:lang w:val="en-US" w:eastAsia="zh-CN"/>
              </w:rPr>
              <w:t>6</w:t>
            </w:r>
            <w:r>
              <w:rPr>
                <w:rFonts w:hint="default" w:ascii="Times New Roman" w:hAnsi="Times New Roman" w:eastAsia="宋体" w:cs="Times New Roman"/>
                <w:b/>
                <w:color w:val="000000"/>
                <w:sz w:val="24"/>
                <w:szCs w:val="22"/>
                <w:highlight w:val="none"/>
              </w:rPr>
              <w:t>项目</w:t>
            </w:r>
            <w:r>
              <w:rPr>
                <w:rFonts w:hint="default" w:ascii="Times New Roman" w:hAnsi="Times New Roman" w:eastAsia="宋体" w:cs="Times New Roman"/>
                <w:b/>
                <w:color w:val="000000"/>
                <w:sz w:val="24"/>
                <w:szCs w:val="22"/>
                <w:highlight w:val="none"/>
                <w:lang w:eastAsia="zh-CN"/>
              </w:rPr>
              <w:t>废水排放口基本情况</w:t>
            </w:r>
            <w:r>
              <w:rPr>
                <w:rFonts w:hint="default" w:ascii="Times New Roman" w:hAnsi="Times New Roman" w:eastAsia="宋体" w:cs="Times New Roman"/>
                <w:b/>
                <w:color w:val="000000"/>
                <w:sz w:val="24"/>
                <w:szCs w:val="22"/>
                <w:highlight w:val="none"/>
              </w:rPr>
              <w:t>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40"/>
              <w:gridCol w:w="1207"/>
              <w:gridCol w:w="1033"/>
              <w:gridCol w:w="864"/>
              <w:gridCol w:w="1383"/>
              <w:gridCol w:w="1385"/>
              <w:gridCol w:w="1110"/>
            </w:tblGrid>
            <w:tr w14:paraId="1A225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7" w:type="pct"/>
                  <w:vMerge w:val="restart"/>
                  <w:noWrap w:val="0"/>
                  <w:vAlign w:val="center"/>
                </w:tcPr>
                <w:p w14:paraId="35305B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排放口</w:t>
                  </w:r>
                </w:p>
                <w:p w14:paraId="4F044B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编号</w:t>
                  </w:r>
                </w:p>
              </w:tc>
              <w:tc>
                <w:tcPr>
                  <w:tcW w:w="771" w:type="pct"/>
                  <w:vMerge w:val="restart"/>
                  <w:noWrap w:val="0"/>
                  <w:vAlign w:val="center"/>
                </w:tcPr>
                <w:p w14:paraId="17C902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eastAsia="zh-CN"/>
                    </w:rPr>
                    <w:t>排放口</w:t>
                  </w:r>
                  <w:r>
                    <w:rPr>
                      <w:rFonts w:hint="default" w:ascii="Times New Roman" w:hAnsi="Times New Roman" w:eastAsia="宋体" w:cs="Times New Roman"/>
                      <w:color w:val="000000"/>
                      <w:sz w:val="21"/>
                      <w:szCs w:val="21"/>
                      <w:highlight w:val="none"/>
                    </w:rPr>
                    <w:t>名称</w:t>
                  </w:r>
                </w:p>
              </w:tc>
              <w:tc>
                <w:tcPr>
                  <w:tcW w:w="1212" w:type="pct"/>
                  <w:gridSpan w:val="2"/>
                  <w:noWrap w:val="0"/>
                  <w:vAlign w:val="center"/>
                </w:tcPr>
                <w:p w14:paraId="1707F2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排放口地理坐标</w:t>
                  </w:r>
                </w:p>
              </w:tc>
              <w:tc>
                <w:tcPr>
                  <w:tcW w:w="2478" w:type="pct"/>
                  <w:gridSpan w:val="3"/>
                  <w:noWrap w:val="0"/>
                  <w:vAlign w:val="center"/>
                </w:tcPr>
                <w:p w14:paraId="69ECC6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监测要求</w:t>
                  </w:r>
                </w:p>
              </w:tc>
            </w:tr>
            <w:tr w14:paraId="1DDD5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7" w:type="pct"/>
                  <w:vMerge w:val="continue"/>
                  <w:noWrap w:val="0"/>
                  <w:vAlign w:val="center"/>
                </w:tcPr>
                <w:p w14:paraId="558130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000000"/>
                      <w:sz w:val="21"/>
                      <w:szCs w:val="21"/>
                      <w:highlight w:val="none"/>
                    </w:rPr>
                  </w:pPr>
                </w:p>
              </w:tc>
              <w:tc>
                <w:tcPr>
                  <w:tcW w:w="771" w:type="pct"/>
                  <w:vMerge w:val="continue"/>
                  <w:noWrap w:val="0"/>
                  <w:vAlign w:val="center"/>
                </w:tcPr>
                <w:p w14:paraId="110E1B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000000"/>
                      <w:sz w:val="21"/>
                      <w:szCs w:val="21"/>
                      <w:highlight w:val="none"/>
                    </w:rPr>
                  </w:pPr>
                </w:p>
              </w:tc>
              <w:tc>
                <w:tcPr>
                  <w:tcW w:w="660" w:type="pct"/>
                  <w:noWrap w:val="0"/>
                  <w:vAlign w:val="center"/>
                </w:tcPr>
                <w:p w14:paraId="025314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经度</w:t>
                  </w:r>
                </w:p>
              </w:tc>
              <w:tc>
                <w:tcPr>
                  <w:tcW w:w="551" w:type="pct"/>
                  <w:noWrap w:val="0"/>
                  <w:vAlign w:val="center"/>
                </w:tcPr>
                <w:p w14:paraId="345D3A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纬度</w:t>
                  </w:r>
                </w:p>
              </w:tc>
              <w:tc>
                <w:tcPr>
                  <w:tcW w:w="884" w:type="pct"/>
                  <w:noWrap w:val="0"/>
                  <w:vAlign w:val="center"/>
                </w:tcPr>
                <w:p w14:paraId="5C8DAE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监测点位</w:t>
                  </w:r>
                </w:p>
              </w:tc>
              <w:tc>
                <w:tcPr>
                  <w:tcW w:w="885" w:type="pct"/>
                  <w:noWrap w:val="0"/>
                  <w:vAlign w:val="center"/>
                </w:tcPr>
                <w:p w14:paraId="43C1192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监测因子</w:t>
                  </w:r>
                </w:p>
              </w:tc>
              <w:tc>
                <w:tcPr>
                  <w:tcW w:w="708" w:type="pct"/>
                  <w:noWrap w:val="0"/>
                  <w:vAlign w:val="center"/>
                </w:tcPr>
                <w:p w14:paraId="7C4DB7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监测频次</w:t>
                  </w:r>
                </w:p>
              </w:tc>
            </w:tr>
            <w:tr w14:paraId="470A5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7" w:type="pct"/>
                  <w:noWrap w:val="0"/>
                  <w:vAlign w:val="center"/>
                </w:tcPr>
                <w:p w14:paraId="783B34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DW001</w:t>
                  </w:r>
                </w:p>
              </w:tc>
              <w:tc>
                <w:tcPr>
                  <w:tcW w:w="771" w:type="pct"/>
                  <w:noWrap w:val="0"/>
                  <w:vAlign w:val="center"/>
                </w:tcPr>
                <w:p w14:paraId="50B376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综合废水排放口</w:t>
                  </w:r>
                </w:p>
              </w:tc>
              <w:tc>
                <w:tcPr>
                  <w:tcW w:w="1033" w:type="dxa"/>
                  <w:noWrap w:val="0"/>
                  <w:vAlign w:val="center"/>
                </w:tcPr>
                <w:p w14:paraId="593A51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auto"/>
                      <w:spacing w:val="-11"/>
                      <w:sz w:val="21"/>
                      <w:szCs w:val="21"/>
                      <w:highlight w:val="none"/>
                      <w:lang w:val="en-US" w:eastAsia="zh-CN"/>
                    </w:rPr>
                    <w:t>118°3</w:t>
                  </w:r>
                  <w:r>
                    <w:rPr>
                      <w:rFonts w:hint="eastAsia" w:ascii="Times New Roman" w:hAnsi="Times New Roman" w:eastAsia="宋体" w:cs="Times New Roman"/>
                      <w:color w:val="auto"/>
                      <w:spacing w:val="-11"/>
                      <w:sz w:val="21"/>
                      <w:szCs w:val="21"/>
                      <w:highlight w:val="none"/>
                      <w:lang w:val="en-US" w:eastAsia="zh-CN"/>
                    </w:rPr>
                    <w:t>0</w:t>
                  </w:r>
                  <w:r>
                    <w:rPr>
                      <w:rFonts w:hint="default" w:ascii="Times New Roman" w:hAnsi="Times New Roman" w:eastAsia="宋体" w:cs="Times New Roman"/>
                      <w:color w:val="auto"/>
                      <w:spacing w:val="-11"/>
                      <w:sz w:val="21"/>
                      <w:szCs w:val="21"/>
                      <w:highlight w:val="none"/>
                      <w:lang w:val="en-US" w:eastAsia="zh-CN"/>
                    </w:rPr>
                    <w:t>′</w:t>
                  </w:r>
                  <w:r>
                    <w:rPr>
                      <w:rFonts w:hint="eastAsia" w:ascii="Times New Roman" w:hAnsi="Times New Roman" w:eastAsia="宋体" w:cs="Times New Roman"/>
                      <w:color w:val="auto"/>
                      <w:spacing w:val="-11"/>
                      <w:sz w:val="21"/>
                      <w:szCs w:val="21"/>
                      <w:highlight w:val="none"/>
                      <w:lang w:val="en-US" w:eastAsia="zh-CN"/>
                    </w:rPr>
                    <w:t>57.86</w:t>
                  </w:r>
                  <w:r>
                    <w:rPr>
                      <w:rFonts w:hint="default" w:ascii="Times New Roman" w:hAnsi="Times New Roman" w:eastAsia="宋体" w:cs="Times New Roman"/>
                      <w:color w:val="auto"/>
                      <w:spacing w:val="-11"/>
                      <w:sz w:val="21"/>
                      <w:szCs w:val="21"/>
                      <w:highlight w:val="none"/>
                      <w:lang w:val="en-US" w:eastAsia="zh-CN"/>
                    </w:rPr>
                    <w:t>″</w:t>
                  </w:r>
                </w:p>
              </w:tc>
              <w:tc>
                <w:tcPr>
                  <w:tcW w:w="864" w:type="dxa"/>
                  <w:noWrap w:val="0"/>
                  <w:vAlign w:val="center"/>
                </w:tcPr>
                <w:p w14:paraId="1B623F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auto"/>
                      <w:spacing w:val="-11"/>
                      <w:sz w:val="21"/>
                      <w:szCs w:val="21"/>
                      <w:highlight w:val="none"/>
                      <w:lang w:val="en-US" w:eastAsia="zh-CN"/>
                    </w:rPr>
                    <w:t>24°</w:t>
                  </w:r>
                  <w:r>
                    <w:rPr>
                      <w:rFonts w:hint="eastAsia" w:ascii="Times New Roman" w:hAnsi="Times New Roman" w:eastAsia="宋体" w:cs="Times New Roman"/>
                      <w:color w:val="auto"/>
                      <w:spacing w:val="-11"/>
                      <w:sz w:val="21"/>
                      <w:szCs w:val="21"/>
                      <w:highlight w:val="none"/>
                      <w:lang w:val="en-US" w:eastAsia="zh-CN"/>
                    </w:rPr>
                    <w:t>54</w:t>
                  </w:r>
                  <w:r>
                    <w:rPr>
                      <w:rFonts w:hint="default" w:ascii="Times New Roman" w:hAnsi="Times New Roman" w:eastAsia="宋体" w:cs="Times New Roman"/>
                      <w:color w:val="auto"/>
                      <w:spacing w:val="-11"/>
                      <w:sz w:val="21"/>
                      <w:szCs w:val="21"/>
                      <w:highlight w:val="none"/>
                      <w:lang w:val="en-US" w:eastAsia="zh-CN"/>
                    </w:rPr>
                    <w:t>′</w:t>
                  </w:r>
                  <w:r>
                    <w:rPr>
                      <w:rFonts w:hint="eastAsia" w:ascii="Times New Roman" w:hAnsi="Times New Roman" w:eastAsia="宋体" w:cs="Times New Roman"/>
                      <w:color w:val="auto"/>
                      <w:spacing w:val="-11"/>
                      <w:sz w:val="21"/>
                      <w:szCs w:val="21"/>
                      <w:highlight w:val="none"/>
                      <w:lang w:val="en-US" w:eastAsia="zh-CN"/>
                    </w:rPr>
                    <w:t>28.96</w:t>
                  </w:r>
                  <w:r>
                    <w:rPr>
                      <w:rFonts w:hint="default" w:ascii="Times New Roman" w:hAnsi="Times New Roman" w:eastAsia="宋体" w:cs="Times New Roman"/>
                      <w:color w:val="auto"/>
                      <w:spacing w:val="-11"/>
                      <w:sz w:val="21"/>
                      <w:szCs w:val="21"/>
                      <w:highlight w:val="none"/>
                      <w:lang w:val="en-US" w:eastAsia="zh-CN"/>
                    </w:rPr>
                    <w:t>″</w:t>
                  </w:r>
                </w:p>
              </w:tc>
              <w:tc>
                <w:tcPr>
                  <w:tcW w:w="884" w:type="pct"/>
                  <w:noWrap w:val="0"/>
                  <w:vAlign w:val="center"/>
                </w:tcPr>
                <w:p w14:paraId="677D12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lang w:val="en-US" w:eastAsia="zh-CN"/>
                    </w:rPr>
                    <w:t>综合废水排放口</w:t>
                  </w:r>
                </w:p>
              </w:tc>
              <w:tc>
                <w:tcPr>
                  <w:tcW w:w="885" w:type="pct"/>
                  <w:noWrap w:val="0"/>
                  <w:vAlign w:val="center"/>
                </w:tcPr>
                <w:p w14:paraId="7E49A5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ascii="Times New Roman" w:hAnsi="Times New Roman" w:eastAsia="宋体" w:cs="Times New Roman"/>
                      <w:color w:val="000000"/>
                      <w:sz w:val="21"/>
                      <w:szCs w:val="21"/>
                      <w:highlight w:val="none"/>
                      <w:lang w:val="en-US" w:eastAsia="zh-CN" w:bidi="ar-SA"/>
                    </w:rPr>
                    <w:t>pH、COD、BOD</w:t>
                  </w:r>
                  <w:r>
                    <w:rPr>
                      <w:rFonts w:hint="eastAsia" w:ascii="Times New Roman" w:hAnsi="Times New Roman" w:eastAsia="宋体" w:cs="Times New Roman"/>
                      <w:color w:val="000000"/>
                      <w:sz w:val="21"/>
                      <w:szCs w:val="21"/>
                      <w:highlight w:val="none"/>
                      <w:vertAlign w:val="subscript"/>
                      <w:lang w:val="en-US" w:eastAsia="zh-CN" w:bidi="ar-SA"/>
                    </w:rPr>
                    <w:t>5</w:t>
                  </w:r>
                  <w:r>
                    <w:rPr>
                      <w:rFonts w:hint="eastAsia" w:ascii="Times New Roman" w:hAnsi="Times New Roman" w:eastAsia="宋体" w:cs="Times New Roman"/>
                      <w:color w:val="000000"/>
                      <w:sz w:val="21"/>
                      <w:szCs w:val="21"/>
                      <w:highlight w:val="none"/>
                      <w:vertAlign w:val="baseline"/>
                      <w:lang w:val="en-US" w:eastAsia="zh-CN" w:bidi="ar-SA"/>
                    </w:rPr>
                    <w:t>、SS、氨氮、色度</w:t>
                  </w:r>
                </w:p>
              </w:tc>
              <w:tc>
                <w:tcPr>
                  <w:tcW w:w="708" w:type="pct"/>
                  <w:noWrap w:val="0"/>
                  <w:vAlign w:val="center"/>
                </w:tcPr>
                <w:p w14:paraId="2258E5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pacing w:val="2"/>
                      <w:sz w:val="21"/>
                      <w:szCs w:val="21"/>
                      <w:highlight w:val="none"/>
                      <w:lang w:val="en-US" w:eastAsia="zh-CN"/>
                    </w:rPr>
                    <w:t>1次/年</w:t>
                  </w:r>
                </w:p>
              </w:tc>
            </w:tr>
          </w:tbl>
          <w:p w14:paraId="5F36508A">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2.2</w:t>
            </w:r>
            <w:r>
              <w:rPr>
                <w:rFonts w:hint="default" w:ascii="Times New Roman" w:hAnsi="Times New Roman" w:eastAsia="宋体" w:cs="Times New Roman"/>
                <w:b/>
                <w:bCs/>
                <w:color w:val="auto"/>
                <w:sz w:val="24"/>
                <w:szCs w:val="24"/>
                <w:highlight w:val="none"/>
              </w:rPr>
              <w:t>废</w:t>
            </w:r>
            <w:r>
              <w:rPr>
                <w:rFonts w:hint="default" w:ascii="Times New Roman" w:hAnsi="Times New Roman" w:eastAsia="宋体" w:cs="Times New Roman"/>
                <w:b/>
                <w:bCs/>
                <w:color w:val="auto"/>
                <w:sz w:val="24"/>
                <w:szCs w:val="24"/>
                <w:highlight w:val="none"/>
                <w:lang w:eastAsia="zh-CN"/>
              </w:rPr>
              <w:t>水排放影响分析</w:t>
            </w:r>
          </w:p>
          <w:p w14:paraId="0EEA914A">
            <w:pPr>
              <w:spacing w:line="360" w:lineRule="auto"/>
              <w:ind w:left="0" w:leftChars="0" w:firstLine="0" w:firstLineChars="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2.2.</w:t>
            </w:r>
            <w:r>
              <w:rPr>
                <w:rFonts w:hint="default" w:ascii="Times New Roman" w:hAnsi="Times New Roman" w:eastAsia="宋体" w:cs="Times New Roman"/>
                <w:b/>
                <w:color w:val="auto"/>
                <w:sz w:val="24"/>
                <w:szCs w:val="24"/>
                <w:highlight w:val="none"/>
              </w:rPr>
              <w:t>1评价类别</w:t>
            </w:r>
          </w:p>
          <w:p w14:paraId="1FF4FE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pacing w:val="2"/>
                <w:sz w:val="24"/>
                <w:szCs w:val="24"/>
                <w:highlight w:val="none"/>
                <w:lang w:val="en-US" w:eastAsia="zh-CN"/>
              </w:rPr>
            </w:pPr>
            <w:r>
              <w:rPr>
                <w:rFonts w:hint="eastAsia" w:ascii="Times New Roman" w:hAnsi="Times New Roman" w:eastAsia="宋体" w:cs="Times New Roman"/>
                <w:color w:val="000000"/>
                <w:sz w:val="24"/>
                <w:highlight w:val="none"/>
                <w:lang w:eastAsia="zh-CN"/>
              </w:rPr>
              <w:t>项目生产废水经厂区“废水处理设施"处理，生活污水经“化粪池”处理达到GB8978-1996《污水综合排放标准》表4三级标准，其中色度、氨氮执行GB/T31962-2015《污水排入城市下水道水质标准》B 等级标准后排入市政污水管网</w:t>
            </w:r>
            <w:r>
              <w:rPr>
                <w:rFonts w:hint="eastAsia" w:cs="Times New Roman"/>
                <w:color w:val="000000"/>
                <w:sz w:val="24"/>
                <w:highlight w:val="none"/>
                <w:lang w:eastAsia="zh-CN"/>
              </w:rPr>
              <w:t>，</w:t>
            </w:r>
            <w:r>
              <w:rPr>
                <w:rFonts w:hint="eastAsia" w:ascii="Times New Roman" w:hAnsi="Times New Roman" w:eastAsia="宋体" w:cs="Times New Roman"/>
                <w:color w:val="000000"/>
                <w:sz w:val="24"/>
                <w:highlight w:val="none"/>
                <w:lang w:eastAsia="zh-CN"/>
              </w:rPr>
              <w:t>经市政排污管网进入晋江仙石污水处理厂进行深度处理，最终排入晋江金鸡闸至鲟埔段（晋江感潮河段）。在达标排放情况下，项目污水排放不会对污水处理厂及纳污水体产生不良影响</w:t>
            </w:r>
            <w:r>
              <w:rPr>
                <w:rFonts w:hint="default" w:ascii="Times New Roman" w:hAnsi="Times New Roman" w:eastAsia="宋体" w:cs="Times New Roman"/>
                <w:color w:val="000000"/>
                <w:spacing w:val="2"/>
                <w:sz w:val="24"/>
                <w:szCs w:val="24"/>
                <w:highlight w:val="none"/>
                <w:lang w:val="en-US" w:eastAsia="zh-CN"/>
              </w:rPr>
              <w:t>。</w:t>
            </w:r>
          </w:p>
          <w:p w14:paraId="35491FCE">
            <w:pPr>
              <w:pStyle w:val="13"/>
              <w:snapToGrid w:val="0"/>
              <w:spacing w:before="0" w:beforeLines="0" w:line="360" w:lineRule="auto"/>
              <w:ind w:left="0" w:leftChars="0" w:right="0" w:firstLine="0" w:firstLineChars="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4.2.2.2</w:t>
            </w:r>
            <w:r>
              <w:rPr>
                <w:rFonts w:hint="eastAsia" w:ascii="Times New Roman" w:hAnsi="Times New Roman" w:eastAsia="宋体" w:cs="Times New Roman"/>
                <w:b/>
                <w:color w:val="auto"/>
                <w:sz w:val="24"/>
                <w:szCs w:val="24"/>
                <w:highlight w:val="none"/>
                <w:lang w:eastAsia="zh-CN"/>
              </w:rPr>
              <w:t>废水处理设施</w:t>
            </w:r>
            <w:r>
              <w:rPr>
                <w:rFonts w:hint="default" w:ascii="Times New Roman" w:hAnsi="Times New Roman" w:eastAsia="宋体" w:cs="Times New Roman"/>
                <w:b/>
                <w:color w:val="auto"/>
                <w:sz w:val="24"/>
                <w:szCs w:val="24"/>
                <w:highlight w:val="none"/>
              </w:rPr>
              <w:t>可行性分析</w:t>
            </w:r>
          </w:p>
          <w:p w14:paraId="236E866D">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both"/>
              <w:textAlignment w:val="auto"/>
              <w:rPr>
                <w:rFonts w:hint="eastAsia" w:ascii="Times New Roman" w:hAnsi="Times New Roman" w:eastAsia="宋体" w:cs="Times New Roman"/>
                <w:color w:val="000000"/>
                <w:spacing w:val="2"/>
                <w:sz w:val="24"/>
                <w:szCs w:val="24"/>
                <w:highlight w:val="none"/>
                <w:lang w:val="en-US" w:eastAsia="zh-CN"/>
              </w:rPr>
            </w:pPr>
            <w:r>
              <w:rPr>
                <w:rFonts w:hint="eastAsia" w:ascii="Times New Roman" w:hAnsi="Times New Roman" w:eastAsia="宋体" w:cs="Times New Roman"/>
                <w:color w:val="000000"/>
                <w:spacing w:val="2"/>
                <w:sz w:val="24"/>
                <w:szCs w:val="24"/>
                <w:highlight w:val="none"/>
                <w:lang w:val="en-US" w:eastAsia="zh-CN"/>
              </w:rPr>
              <w:t>本项目属于布料的丝印加工项目，根据HJ1066-2019《排污许可证申请与核发技术规范印刷工业》表5排污单位废水类别、污染物项目及污染防治设一览表，项目生产废水采用的“混凝沉淀”属于其推荐的可行技术范围内。</w:t>
            </w:r>
          </w:p>
          <w:p w14:paraId="6284D462">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both"/>
              <w:textAlignment w:val="auto"/>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pacing w:val="2"/>
                <w:sz w:val="24"/>
                <w:szCs w:val="24"/>
                <w:highlight w:val="none"/>
                <w:lang w:val="en-US" w:eastAsia="zh-CN"/>
              </w:rPr>
              <w:t>项目外排废水主要为生产废水和生活污水。</w:t>
            </w:r>
            <w:r>
              <w:rPr>
                <w:rFonts w:hint="eastAsia" w:ascii="Times New Roman" w:hAnsi="Times New Roman" w:eastAsia="宋体" w:cs="Times New Roman"/>
                <w:color w:val="000000"/>
                <w:sz w:val="24"/>
                <w:highlight w:val="none"/>
                <w:lang w:eastAsia="zh-CN"/>
              </w:rPr>
              <w:t>项目生产废水经厂区“废水处理设施"处理，生活污水经“化粪池”处理后排入市政管网。</w:t>
            </w:r>
          </w:p>
          <w:p w14:paraId="2819F7A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sz w:val="24"/>
                <w:highlight w:val="none"/>
                <w:lang w:eastAsia="zh-CN"/>
              </w:rPr>
            </w:pPr>
            <w:r>
              <w:rPr>
                <w:rFonts w:hint="eastAsia" w:ascii="Times New Roman" w:hAnsi="Times New Roman" w:eastAsia="宋体" w:cs="Times New Roman"/>
                <w:b/>
                <w:bCs/>
                <w:color w:val="000000"/>
                <w:sz w:val="24"/>
                <w:highlight w:val="none"/>
                <w:lang w:eastAsia="zh-CN"/>
              </w:rPr>
              <w:t>（</w:t>
            </w:r>
            <w:r>
              <w:rPr>
                <w:rFonts w:hint="eastAsia" w:ascii="Times New Roman" w:hAnsi="Times New Roman" w:eastAsia="宋体" w:cs="Times New Roman"/>
                <w:b/>
                <w:bCs/>
                <w:color w:val="000000"/>
                <w:sz w:val="24"/>
                <w:highlight w:val="none"/>
                <w:lang w:val="en-US" w:eastAsia="zh-CN"/>
              </w:rPr>
              <w:t>1</w:t>
            </w:r>
            <w:r>
              <w:rPr>
                <w:rFonts w:hint="eastAsia" w:ascii="Times New Roman" w:hAnsi="Times New Roman" w:eastAsia="宋体" w:cs="Times New Roman"/>
                <w:b/>
                <w:bCs/>
                <w:color w:val="000000"/>
                <w:sz w:val="24"/>
                <w:highlight w:val="none"/>
                <w:lang w:eastAsia="zh-CN"/>
              </w:rPr>
              <w:t>）生产废水</w:t>
            </w:r>
          </w:p>
          <w:p w14:paraId="5B08533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sz w:val="24"/>
                <w:highlight w:val="none"/>
                <w:lang w:eastAsia="zh-CN"/>
              </w:rPr>
            </w:pPr>
            <w:r>
              <w:rPr>
                <w:rFonts w:hint="eastAsia" w:ascii="Times New Roman" w:hAnsi="Times New Roman" w:eastAsia="宋体" w:cs="Times New Roman"/>
                <w:b/>
                <w:bCs/>
                <w:color w:val="000000"/>
                <w:sz w:val="24"/>
                <w:highlight w:val="none"/>
                <w:lang w:val="en-US" w:eastAsia="zh-CN"/>
              </w:rPr>
              <w:t>i</w:t>
            </w:r>
            <w:r>
              <w:rPr>
                <w:rFonts w:hint="eastAsia" w:ascii="Times New Roman" w:hAnsi="Times New Roman" w:eastAsia="宋体" w:cs="Times New Roman"/>
                <w:b/>
                <w:bCs/>
                <w:color w:val="000000"/>
                <w:sz w:val="24"/>
                <w:highlight w:val="none"/>
                <w:lang w:eastAsia="zh-CN"/>
              </w:rPr>
              <w:t>处理设施工艺原理</w:t>
            </w:r>
          </w:p>
          <w:p w14:paraId="2F4A17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eastAsia="zh-CN"/>
              </w:rPr>
              <w:t>项目拟在厂区建设“废水处理设施”，处理设施的设计处理能力为</w:t>
            </w:r>
            <w:r>
              <w:rPr>
                <w:rFonts w:hint="eastAsia" w:ascii="Times New Roman" w:hAnsi="Times New Roman" w:eastAsia="宋体" w:cs="Times New Roman"/>
                <w:color w:val="000000"/>
                <w:sz w:val="24"/>
                <w:highlight w:val="none"/>
                <w:lang w:val="en-US" w:eastAsia="zh-CN"/>
              </w:rPr>
              <w:t>40t/d，处理设施工艺流程如下：</w:t>
            </w:r>
          </w:p>
          <w:p w14:paraId="6AF4C68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highlight w:val="none"/>
              </w:rPr>
            </w:pPr>
            <w:r>
              <w:rPr>
                <w:highlight w:val="none"/>
              </w:rPr>
              <w:drawing>
                <wp:inline distT="0" distB="0" distL="114300" distR="114300">
                  <wp:extent cx="4576445" cy="2514600"/>
                  <wp:effectExtent l="0" t="0" r="14605" b="0"/>
                  <wp:docPr id="23"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1"/>
                          <pic:cNvPicPr>
                            <a:picLocks noChangeAspect="1"/>
                          </pic:cNvPicPr>
                        </pic:nvPicPr>
                        <pic:blipFill>
                          <a:blip r:embed="rId19"/>
                          <a:stretch>
                            <a:fillRect/>
                          </a:stretch>
                        </pic:blipFill>
                        <pic:spPr>
                          <a:xfrm>
                            <a:off x="0" y="0"/>
                            <a:ext cx="4576445" cy="2514600"/>
                          </a:xfrm>
                          <a:prstGeom prst="rect">
                            <a:avLst/>
                          </a:prstGeom>
                          <a:noFill/>
                          <a:ln>
                            <a:noFill/>
                          </a:ln>
                        </pic:spPr>
                      </pic:pic>
                    </a:graphicData>
                  </a:graphic>
                </wp:inline>
              </w:drawing>
            </w:r>
          </w:p>
          <w:p w14:paraId="1A6B0ACA">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both"/>
              <w:textAlignment w:val="auto"/>
              <w:rPr>
                <w:rFonts w:hint="default" w:ascii="Times New Roman" w:hAnsi="Times New Roman" w:eastAsia="宋体" w:cs="Times New Roman"/>
                <w:color w:val="000000"/>
                <w:spacing w:val="2"/>
                <w:sz w:val="24"/>
                <w:szCs w:val="24"/>
                <w:highlight w:val="none"/>
                <w:lang w:val="en-US" w:eastAsia="zh-CN"/>
              </w:rPr>
            </w:pPr>
            <w:r>
              <w:rPr>
                <w:rFonts w:hint="default" w:ascii="Times New Roman" w:hAnsi="Times New Roman" w:eastAsia="宋体" w:cs="Times New Roman"/>
                <w:color w:val="000000"/>
                <w:spacing w:val="2"/>
                <w:sz w:val="24"/>
                <w:szCs w:val="24"/>
                <w:highlight w:val="none"/>
                <w:lang w:val="en-US" w:eastAsia="zh-CN"/>
              </w:rPr>
              <w:t>工艺流程简介</w:t>
            </w:r>
            <w:r>
              <w:rPr>
                <w:rFonts w:hint="eastAsia" w:cs="Times New Roman"/>
                <w:color w:val="000000"/>
                <w:spacing w:val="2"/>
                <w:sz w:val="24"/>
                <w:szCs w:val="24"/>
                <w:highlight w:val="none"/>
                <w:lang w:val="en-US" w:eastAsia="zh-CN"/>
              </w:rPr>
              <w:t>：</w:t>
            </w:r>
            <w:r>
              <w:rPr>
                <w:rFonts w:hint="default" w:ascii="Times New Roman" w:hAnsi="Times New Roman" w:eastAsia="宋体" w:cs="Times New Roman"/>
                <w:color w:val="000000"/>
                <w:spacing w:val="2"/>
                <w:sz w:val="24"/>
                <w:szCs w:val="24"/>
                <w:highlight w:val="none"/>
                <w:lang w:val="en-US" w:eastAsia="zh-CN"/>
              </w:rPr>
              <w:t>污水处理系统有调节池、沉淀池、</w:t>
            </w:r>
            <w:r>
              <w:rPr>
                <w:rFonts w:hint="eastAsia" w:ascii="Times New Roman" w:hAnsi="Times New Roman" w:eastAsia="宋体" w:cs="Times New Roman"/>
                <w:color w:val="000000"/>
                <w:spacing w:val="2"/>
                <w:sz w:val="24"/>
                <w:szCs w:val="24"/>
                <w:highlight w:val="none"/>
                <w:lang w:val="en-US" w:eastAsia="zh-CN"/>
              </w:rPr>
              <w:t>接触氧化</w:t>
            </w:r>
            <w:r>
              <w:rPr>
                <w:rFonts w:hint="default" w:ascii="Times New Roman" w:hAnsi="Times New Roman" w:eastAsia="宋体" w:cs="Times New Roman"/>
                <w:color w:val="000000"/>
                <w:spacing w:val="2"/>
                <w:sz w:val="24"/>
                <w:szCs w:val="24"/>
                <w:highlight w:val="none"/>
                <w:lang w:val="en-US" w:eastAsia="zh-CN"/>
              </w:rPr>
              <w:t>池等组成。生产废水分批少量进入调节池，调节水量、水质。调节池液位自动控制，当调节池液位高时自动启动污水提升泵至混凝反应池，投加少量的脱色剂、PAC和PAM，在搅拌机搅拌下，在废水中悬浮物在少量的凝剂和高分子助凝剂PAM 的共同作用下，形成较大的矾花面沉淀，混凝沉淀池上清液自流排入厂区化粪池处理后，再排入污水处理厂</w:t>
            </w:r>
            <w:r>
              <w:rPr>
                <w:rFonts w:hint="eastAsia" w:ascii="Times New Roman" w:hAnsi="Times New Roman" w:eastAsia="宋体" w:cs="Times New Roman"/>
                <w:color w:val="000000"/>
                <w:spacing w:val="2"/>
                <w:sz w:val="24"/>
                <w:szCs w:val="24"/>
                <w:highlight w:val="none"/>
                <w:lang w:val="en-US" w:eastAsia="zh-CN"/>
              </w:rPr>
              <w:t>；</w:t>
            </w:r>
            <w:r>
              <w:rPr>
                <w:rFonts w:hint="default" w:ascii="Times New Roman" w:hAnsi="Times New Roman" w:eastAsia="宋体" w:cs="Times New Roman"/>
                <w:color w:val="000000"/>
                <w:spacing w:val="2"/>
                <w:sz w:val="24"/>
                <w:szCs w:val="24"/>
                <w:highlight w:val="none"/>
                <w:lang w:val="en-US" w:eastAsia="zh-CN"/>
              </w:rPr>
              <w:t>沉淀池底部污泥排至污泥干化池，滤液回流至调节池，污泥暂存危废间，委托存资质的危险废物处置单位统一进行处理处置</w:t>
            </w:r>
            <w:r>
              <w:rPr>
                <w:rFonts w:hint="eastAsia" w:cs="Times New Roman"/>
                <w:color w:val="000000"/>
                <w:spacing w:val="2"/>
                <w:sz w:val="24"/>
                <w:szCs w:val="24"/>
                <w:highlight w:val="none"/>
                <w:lang w:val="en-US" w:eastAsia="zh-CN"/>
              </w:rPr>
              <w:t>。</w:t>
            </w:r>
          </w:p>
          <w:p w14:paraId="14094137">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both"/>
              <w:textAlignment w:val="auto"/>
              <w:rPr>
                <w:rFonts w:hint="default" w:ascii="Times New Roman" w:hAnsi="Times New Roman" w:eastAsia="宋体" w:cs="Times New Roman"/>
                <w:color w:val="000000"/>
                <w:spacing w:val="2"/>
                <w:sz w:val="24"/>
                <w:szCs w:val="24"/>
                <w:highlight w:val="none"/>
                <w:lang w:val="en-US" w:eastAsia="zh-CN"/>
              </w:rPr>
            </w:pPr>
            <w:r>
              <w:rPr>
                <w:rFonts w:hint="default" w:ascii="Times New Roman" w:hAnsi="Times New Roman" w:eastAsia="宋体" w:cs="Times New Roman"/>
                <w:color w:val="000000"/>
                <w:spacing w:val="2"/>
                <w:sz w:val="24"/>
                <w:szCs w:val="24"/>
                <w:highlight w:val="none"/>
                <w:lang w:val="en-US" w:eastAsia="zh-CN"/>
              </w:rPr>
              <w:t>项目生产</w:t>
            </w:r>
            <w:r>
              <w:rPr>
                <w:rFonts w:hint="eastAsia" w:ascii="Times New Roman" w:hAnsi="Times New Roman" w:eastAsia="宋体" w:cs="Times New Roman"/>
                <w:color w:val="000000"/>
                <w:spacing w:val="2"/>
                <w:sz w:val="24"/>
                <w:szCs w:val="24"/>
                <w:highlight w:val="none"/>
                <w:lang w:val="en-US" w:eastAsia="zh-CN"/>
              </w:rPr>
              <w:t>废</w:t>
            </w:r>
            <w:r>
              <w:rPr>
                <w:rFonts w:hint="default" w:ascii="Times New Roman" w:hAnsi="Times New Roman" w:eastAsia="宋体" w:cs="Times New Roman"/>
                <w:color w:val="000000"/>
                <w:spacing w:val="2"/>
                <w:sz w:val="24"/>
                <w:szCs w:val="24"/>
                <w:highlight w:val="none"/>
                <w:lang w:val="en-US" w:eastAsia="zh-CN"/>
              </w:rPr>
              <w:t>水处理设施设计处理水量</w:t>
            </w:r>
            <w:r>
              <w:rPr>
                <w:rFonts w:hint="eastAsia" w:ascii="Times New Roman" w:hAnsi="Times New Roman" w:eastAsia="宋体" w:cs="Times New Roman"/>
                <w:color w:val="000000"/>
                <w:spacing w:val="2"/>
                <w:sz w:val="24"/>
                <w:szCs w:val="24"/>
                <w:highlight w:val="none"/>
                <w:lang w:val="en-US" w:eastAsia="zh-CN"/>
              </w:rPr>
              <w:t>40t/d</w:t>
            </w:r>
            <w:r>
              <w:rPr>
                <w:rFonts w:hint="default" w:ascii="Times New Roman" w:hAnsi="Times New Roman" w:eastAsia="宋体" w:cs="Times New Roman"/>
                <w:color w:val="000000"/>
                <w:spacing w:val="2"/>
                <w:sz w:val="24"/>
                <w:szCs w:val="24"/>
                <w:highlight w:val="none"/>
                <w:lang w:val="en-US" w:eastAsia="zh-CN"/>
              </w:rPr>
              <w:t>，本项目生产废水产生量为</w:t>
            </w:r>
            <w:r>
              <w:rPr>
                <w:rFonts w:hint="eastAsia" w:cs="Times New Roman"/>
                <w:color w:val="000000"/>
                <w:spacing w:val="2"/>
                <w:sz w:val="24"/>
                <w:szCs w:val="24"/>
                <w:highlight w:val="none"/>
                <w:lang w:val="en-US" w:eastAsia="zh-CN"/>
              </w:rPr>
              <w:t>2.7</w:t>
            </w:r>
            <w:r>
              <w:rPr>
                <w:rFonts w:hint="default" w:ascii="Times New Roman" w:hAnsi="Times New Roman" w:eastAsia="宋体" w:cs="Times New Roman"/>
                <w:color w:val="000000"/>
                <w:spacing w:val="2"/>
                <w:sz w:val="24"/>
                <w:szCs w:val="24"/>
                <w:highlight w:val="none"/>
                <w:lang w:val="en-US" w:eastAsia="zh-CN"/>
              </w:rPr>
              <w:t>t</w:t>
            </w:r>
            <w:r>
              <w:rPr>
                <w:rFonts w:hint="eastAsia" w:ascii="Times New Roman" w:hAnsi="Times New Roman" w:eastAsia="宋体" w:cs="Times New Roman"/>
                <w:color w:val="000000"/>
                <w:spacing w:val="2"/>
                <w:sz w:val="24"/>
                <w:szCs w:val="24"/>
                <w:highlight w:val="none"/>
                <w:lang w:val="en-US" w:eastAsia="zh-CN"/>
              </w:rPr>
              <w:t>/</w:t>
            </w:r>
            <w:r>
              <w:rPr>
                <w:rFonts w:hint="default" w:ascii="Times New Roman" w:hAnsi="Times New Roman" w:eastAsia="宋体" w:cs="Times New Roman"/>
                <w:color w:val="000000"/>
                <w:spacing w:val="2"/>
                <w:sz w:val="24"/>
                <w:szCs w:val="24"/>
                <w:highlight w:val="none"/>
                <w:lang w:val="en-US" w:eastAsia="zh-CN"/>
              </w:rPr>
              <w:t>d，占处理能力的</w:t>
            </w:r>
            <w:r>
              <w:rPr>
                <w:rFonts w:hint="eastAsia" w:cs="Times New Roman"/>
                <w:color w:val="000000"/>
                <w:spacing w:val="2"/>
                <w:sz w:val="24"/>
                <w:szCs w:val="24"/>
                <w:highlight w:val="none"/>
                <w:lang w:val="en-US" w:eastAsia="zh-CN"/>
              </w:rPr>
              <w:t>6.75</w:t>
            </w:r>
            <w:r>
              <w:rPr>
                <w:rFonts w:hint="eastAsia" w:ascii="Times New Roman" w:hAnsi="Times New Roman" w:eastAsia="宋体" w:cs="Times New Roman"/>
                <w:color w:val="000000"/>
                <w:spacing w:val="2"/>
                <w:sz w:val="24"/>
                <w:szCs w:val="24"/>
                <w:highlight w:val="none"/>
                <w:lang w:val="en-US" w:eastAsia="zh-CN"/>
              </w:rPr>
              <w:t>%</w:t>
            </w:r>
            <w:r>
              <w:rPr>
                <w:rFonts w:hint="default" w:ascii="Times New Roman" w:hAnsi="Times New Roman" w:eastAsia="宋体" w:cs="Times New Roman"/>
                <w:color w:val="000000"/>
                <w:spacing w:val="2"/>
                <w:sz w:val="24"/>
                <w:szCs w:val="24"/>
                <w:highlight w:val="none"/>
                <w:lang w:val="en-US" w:eastAsia="zh-CN"/>
              </w:rPr>
              <w:t>，因此，项目污水处理设施有足够的容量可以处理本项目所产生的生产废水。</w:t>
            </w:r>
          </w:p>
          <w:p w14:paraId="4C150825">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eastAsia" w:ascii="Times New Roman" w:hAnsi="Times New Roman" w:eastAsia="宋体" w:cs="Times New Roman"/>
                <w:b/>
                <w:bCs/>
                <w:color w:val="000000"/>
                <w:spacing w:val="2"/>
                <w:sz w:val="24"/>
                <w:szCs w:val="24"/>
                <w:highlight w:val="none"/>
                <w:lang w:val="en-US" w:eastAsia="zh-CN"/>
              </w:rPr>
            </w:pPr>
            <w:r>
              <w:rPr>
                <w:rFonts w:hint="eastAsia" w:ascii="Times New Roman" w:hAnsi="Times New Roman" w:eastAsia="宋体" w:cs="Times New Roman"/>
                <w:b/>
                <w:bCs/>
                <w:color w:val="000000"/>
                <w:spacing w:val="2"/>
                <w:sz w:val="24"/>
                <w:szCs w:val="24"/>
                <w:highlight w:val="none"/>
                <w:lang w:val="en-US" w:eastAsia="zh-CN"/>
              </w:rPr>
              <w:t>ii废水处理设施</w:t>
            </w:r>
            <w:r>
              <w:rPr>
                <w:rFonts w:hint="eastAsia" w:cs="Times New Roman"/>
                <w:b/>
                <w:bCs/>
                <w:color w:val="000000"/>
                <w:spacing w:val="2"/>
                <w:sz w:val="24"/>
                <w:szCs w:val="24"/>
                <w:highlight w:val="none"/>
                <w:lang w:val="en-US" w:eastAsia="zh-CN"/>
              </w:rPr>
              <w:t>处理效果分析</w:t>
            </w:r>
          </w:p>
          <w:p w14:paraId="1285CB97">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both"/>
              <w:textAlignment w:val="auto"/>
              <w:rPr>
                <w:rFonts w:hint="eastAsia" w:ascii="Times New Roman" w:hAnsi="Times New Roman" w:eastAsia="宋体" w:cs="Times New Roman"/>
                <w:color w:val="000000"/>
                <w:spacing w:val="2"/>
                <w:sz w:val="24"/>
                <w:szCs w:val="24"/>
                <w:highlight w:val="none"/>
                <w:lang w:val="en-US" w:eastAsia="zh-CN"/>
              </w:rPr>
            </w:pPr>
            <w:r>
              <w:rPr>
                <w:rFonts w:hint="default" w:ascii="Times New Roman" w:hAnsi="Times New Roman" w:eastAsia="宋体" w:cs="Times New Roman"/>
                <w:color w:val="000000"/>
                <w:spacing w:val="2"/>
                <w:sz w:val="24"/>
                <w:szCs w:val="24"/>
                <w:highlight w:val="none"/>
                <w:lang w:val="en-US" w:eastAsia="zh-CN"/>
              </w:rPr>
              <w:t>本项目生产</w:t>
            </w:r>
            <w:r>
              <w:rPr>
                <w:rFonts w:hint="eastAsia" w:ascii="Times New Roman" w:hAnsi="Times New Roman" w:eastAsia="宋体" w:cs="Times New Roman"/>
                <w:color w:val="000000"/>
                <w:spacing w:val="2"/>
                <w:sz w:val="24"/>
                <w:szCs w:val="24"/>
                <w:highlight w:val="none"/>
                <w:lang w:val="en-US" w:eastAsia="zh-CN"/>
              </w:rPr>
              <w:t>废</w:t>
            </w:r>
            <w:r>
              <w:rPr>
                <w:rFonts w:hint="default" w:ascii="Times New Roman" w:hAnsi="Times New Roman" w:eastAsia="宋体" w:cs="Times New Roman"/>
                <w:color w:val="000000"/>
                <w:spacing w:val="2"/>
                <w:sz w:val="24"/>
                <w:szCs w:val="24"/>
                <w:highlight w:val="none"/>
                <w:lang w:val="en-US" w:eastAsia="zh-CN"/>
              </w:rPr>
              <w:t>水经污水处理设施处理后达GB8978-1996《污水综合排放标准》表4三级标准</w:t>
            </w:r>
            <w:r>
              <w:rPr>
                <w:rFonts w:hint="eastAsia" w:ascii="Times New Roman" w:hAnsi="Times New Roman" w:eastAsia="宋体" w:cs="Times New Roman"/>
                <w:color w:val="000000"/>
                <w:spacing w:val="2"/>
                <w:sz w:val="24"/>
                <w:szCs w:val="24"/>
                <w:highlight w:val="none"/>
                <w:lang w:val="en-US" w:eastAsia="zh-CN"/>
              </w:rPr>
              <w:t>（</w:t>
            </w:r>
            <w:r>
              <w:rPr>
                <w:rFonts w:hint="default" w:ascii="Times New Roman" w:hAnsi="Times New Roman" w:eastAsia="宋体" w:cs="Times New Roman"/>
                <w:color w:val="000000"/>
                <w:spacing w:val="2"/>
                <w:sz w:val="24"/>
                <w:szCs w:val="24"/>
                <w:highlight w:val="none"/>
                <w:lang w:val="en-US" w:eastAsia="zh-CN"/>
              </w:rPr>
              <w:t>其中色度、氨氮参照GBT31962-2015《污水排入城镇下水道水质标准》中B等级</w:t>
            </w:r>
            <w:r>
              <w:rPr>
                <w:rFonts w:hint="eastAsia" w:ascii="Times New Roman" w:hAnsi="Times New Roman" w:eastAsia="宋体" w:cs="Times New Roman"/>
                <w:color w:val="000000"/>
                <w:spacing w:val="2"/>
                <w:sz w:val="24"/>
                <w:szCs w:val="24"/>
                <w:highlight w:val="none"/>
                <w:lang w:val="en-US" w:eastAsia="zh-CN"/>
              </w:rPr>
              <w:t>）</w:t>
            </w:r>
            <w:r>
              <w:rPr>
                <w:rFonts w:hint="default" w:ascii="Times New Roman" w:hAnsi="Times New Roman" w:eastAsia="宋体" w:cs="Times New Roman"/>
                <w:color w:val="000000"/>
                <w:spacing w:val="2"/>
                <w:sz w:val="24"/>
                <w:szCs w:val="24"/>
                <w:highlight w:val="none"/>
                <w:lang w:val="en-US" w:eastAsia="zh-CN"/>
              </w:rPr>
              <w:t>后排入市政污水管网，最终汇入晋江仙石污水处理厂进行深度处理。因此根据污水</w:t>
            </w:r>
            <w:r>
              <w:rPr>
                <w:rFonts w:hint="eastAsia" w:cs="Times New Roman"/>
                <w:color w:val="000000"/>
                <w:spacing w:val="2"/>
                <w:sz w:val="24"/>
                <w:szCs w:val="24"/>
                <w:highlight w:val="none"/>
                <w:lang w:val="en-US" w:eastAsia="zh-CN"/>
              </w:rPr>
              <w:t>处理</w:t>
            </w:r>
            <w:r>
              <w:rPr>
                <w:rFonts w:hint="default" w:ascii="Times New Roman" w:hAnsi="Times New Roman" w:eastAsia="宋体" w:cs="Times New Roman"/>
                <w:color w:val="000000"/>
                <w:spacing w:val="2"/>
                <w:sz w:val="24"/>
                <w:szCs w:val="24"/>
                <w:highlight w:val="none"/>
                <w:lang w:val="en-US" w:eastAsia="zh-CN"/>
              </w:rPr>
              <w:t>设施设计方案，本项目污水处理设施</w:t>
            </w:r>
            <w:r>
              <w:rPr>
                <w:rFonts w:hint="eastAsia" w:cs="Times New Roman"/>
                <w:color w:val="000000"/>
                <w:spacing w:val="2"/>
                <w:sz w:val="24"/>
                <w:szCs w:val="24"/>
                <w:highlight w:val="none"/>
                <w:lang w:val="en-US" w:eastAsia="zh-CN"/>
              </w:rPr>
              <w:t>处理效果</w:t>
            </w:r>
            <w:r>
              <w:rPr>
                <w:rFonts w:hint="default" w:ascii="Times New Roman" w:hAnsi="Times New Roman" w:eastAsia="宋体" w:cs="Times New Roman"/>
                <w:color w:val="000000"/>
                <w:spacing w:val="2"/>
                <w:sz w:val="24"/>
                <w:szCs w:val="24"/>
                <w:highlight w:val="none"/>
                <w:lang w:val="en-US" w:eastAsia="zh-CN"/>
              </w:rPr>
              <w:t>见表4-1</w:t>
            </w:r>
            <w:r>
              <w:rPr>
                <w:rFonts w:hint="eastAsia" w:cs="Times New Roman"/>
                <w:color w:val="000000"/>
                <w:spacing w:val="2"/>
                <w:sz w:val="24"/>
                <w:szCs w:val="24"/>
                <w:highlight w:val="none"/>
                <w:lang w:val="en-US" w:eastAsia="zh-CN"/>
              </w:rPr>
              <w:t>7</w:t>
            </w:r>
            <w:r>
              <w:rPr>
                <w:rFonts w:hint="eastAsia" w:ascii="Times New Roman" w:hAnsi="Times New Roman" w:eastAsia="宋体" w:cs="Times New Roman"/>
                <w:color w:val="000000"/>
                <w:spacing w:val="2"/>
                <w:sz w:val="24"/>
                <w:szCs w:val="24"/>
                <w:highlight w:val="none"/>
                <w:lang w:val="en-US" w:eastAsia="zh-CN"/>
              </w:rPr>
              <w:t>。</w:t>
            </w:r>
          </w:p>
          <w:p w14:paraId="00A3B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spacing w:val="2"/>
                <w:sz w:val="24"/>
                <w:szCs w:val="24"/>
                <w:highlight w:val="none"/>
                <w:lang w:val="en-US" w:eastAsia="zh-CN"/>
              </w:rPr>
            </w:pPr>
            <w:r>
              <w:rPr>
                <w:rFonts w:hint="eastAsia" w:ascii="Times New Roman" w:hAnsi="Times New Roman" w:eastAsia="宋体" w:cs="Times New Roman"/>
                <w:b/>
                <w:bCs/>
                <w:color w:val="000000"/>
                <w:spacing w:val="2"/>
                <w:sz w:val="24"/>
                <w:szCs w:val="24"/>
                <w:highlight w:val="none"/>
                <w:lang w:val="en-US" w:eastAsia="zh-CN"/>
              </w:rPr>
              <w:t>表4-1</w:t>
            </w:r>
            <w:r>
              <w:rPr>
                <w:rFonts w:hint="eastAsia" w:cs="Times New Roman"/>
                <w:b/>
                <w:bCs/>
                <w:color w:val="000000"/>
                <w:spacing w:val="2"/>
                <w:sz w:val="24"/>
                <w:szCs w:val="24"/>
                <w:highlight w:val="none"/>
                <w:lang w:val="en-US" w:eastAsia="zh-CN"/>
              </w:rPr>
              <w:t>7</w:t>
            </w:r>
            <w:r>
              <w:rPr>
                <w:rFonts w:hint="eastAsia" w:ascii="Times New Roman" w:hAnsi="Times New Roman" w:eastAsia="宋体" w:cs="Times New Roman"/>
                <w:b/>
                <w:bCs/>
                <w:color w:val="000000"/>
                <w:spacing w:val="2"/>
                <w:sz w:val="24"/>
                <w:szCs w:val="24"/>
                <w:highlight w:val="none"/>
                <w:lang w:val="en-US" w:eastAsia="zh-CN"/>
              </w:rPr>
              <w:t xml:space="preserve"> </w:t>
            </w:r>
            <w:r>
              <w:rPr>
                <w:rFonts w:hint="eastAsia" w:cs="Times New Roman"/>
                <w:b/>
                <w:bCs/>
                <w:color w:val="000000"/>
                <w:spacing w:val="2"/>
                <w:sz w:val="24"/>
                <w:szCs w:val="24"/>
                <w:highlight w:val="none"/>
                <w:lang w:val="en-US" w:eastAsia="zh-CN"/>
              </w:rPr>
              <w:t>废水处理设施处理效果</w:t>
            </w:r>
          </w:p>
          <w:tbl>
            <w:tblPr>
              <w:tblStyle w:val="26"/>
              <w:tblW w:w="782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118"/>
              <w:gridCol w:w="1254"/>
              <w:gridCol w:w="1105"/>
              <w:gridCol w:w="1216"/>
              <w:gridCol w:w="1305"/>
            </w:tblGrid>
            <w:tr w14:paraId="0C0C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tcBorders>
                    <w:top w:val="single" w:color="auto" w:sz="12" w:space="0"/>
                    <w:left w:val="nil"/>
                  </w:tcBorders>
                  <w:noWrap w:val="0"/>
                  <w:vAlign w:val="center"/>
                </w:tcPr>
                <w:p w14:paraId="4555DE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项目</w:t>
                  </w:r>
                </w:p>
              </w:tc>
              <w:tc>
                <w:tcPr>
                  <w:tcW w:w="1118" w:type="dxa"/>
                  <w:tcBorders>
                    <w:top w:val="single" w:color="auto" w:sz="12" w:space="0"/>
                  </w:tcBorders>
                  <w:noWrap w:val="0"/>
                  <w:vAlign w:val="center"/>
                </w:tcPr>
                <w:p w14:paraId="6AAA30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COD</w:t>
                  </w:r>
                </w:p>
              </w:tc>
              <w:tc>
                <w:tcPr>
                  <w:tcW w:w="1254" w:type="dxa"/>
                  <w:tcBorders>
                    <w:top w:val="single" w:color="auto" w:sz="12" w:space="0"/>
                  </w:tcBorders>
                  <w:noWrap w:val="0"/>
                  <w:vAlign w:val="center"/>
                </w:tcPr>
                <w:p w14:paraId="7E7DF3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BOD</w:t>
                  </w:r>
                  <w:r>
                    <w:rPr>
                      <w:rFonts w:hint="eastAsia" w:ascii="Times New Roman" w:hAnsi="Times New Roman" w:eastAsia="宋体" w:cs="Times New Roman"/>
                      <w:b w:val="0"/>
                      <w:bCs w:val="0"/>
                      <w:color w:val="000000"/>
                      <w:spacing w:val="2"/>
                      <w:sz w:val="21"/>
                      <w:szCs w:val="21"/>
                      <w:highlight w:val="none"/>
                      <w:vertAlign w:val="subscript"/>
                      <w:lang w:val="en-US" w:eastAsia="zh-CN"/>
                    </w:rPr>
                    <w:t>5</w:t>
                  </w:r>
                </w:p>
              </w:tc>
              <w:tc>
                <w:tcPr>
                  <w:tcW w:w="1105" w:type="dxa"/>
                  <w:tcBorders>
                    <w:top w:val="single" w:color="auto" w:sz="12" w:space="0"/>
                  </w:tcBorders>
                  <w:noWrap w:val="0"/>
                  <w:vAlign w:val="center"/>
                </w:tcPr>
                <w:p w14:paraId="2A4B4C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SS</w:t>
                  </w:r>
                </w:p>
              </w:tc>
              <w:tc>
                <w:tcPr>
                  <w:tcW w:w="1216" w:type="dxa"/>
                  <w:tcBorders>
                    <w:top w:val="single" w:color="auto" w:sz="12" w:space="0"/>
                  </w:tcBorders>
                  <w:noWrap w:val="0"/>
                  <w:vAlign w:val="center"/>
                </w:tcPr>
                <w:p w14:paraId="467976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氨氮</w:t>
                  </w:r>
                </w:p>
              </w:tc>
              <w:tc>
                <w:tcPr>
                  <w:tcW w:w="1305" w:type="dxa"/>
                  <w:tcBorders>
                    <w:top w:val="single" w:color="auto" w:sz="12" w:space="0"/>
                    <w:right w:val="nil"/>
                  </w:tcBorders>
                  <w:noWrap w:val="0"/>
                  <w:vAlign w:val="center"/>
                </w:tcPr>
                <w:p w14:paraId="2AC1E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色度（倍数）</w:t>
                  </w:r>
                </w:p>
              </w:tc>
            </w:tr>
            <w:tr w14:paraId="080D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tcBorders>
                    <w:left w:val="nil"/>
                  </w:tcBorders>
                  <w:noWrap w:val="0"/>
                  <w:vAlign w:val="center"/>
                </w:tcPr>
                <w:p w14:paraId="030667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进水水质mg/L</w:t>
                  </w:r>
                </w:p>
              </w:tc>
              <w:tc>
                <w:tcPr>
                  <w:tcW w:w="1118" w:type="dxa"/>
                  <w:noWrap w:val="0"/>
                  <w:vAlign w:val="center"/>
                </w:tcPr>
                <w:p w14:paraId="5A307C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352</w:t>
                  </w:r>
                </w:p>
              </w:tc>
              <w:tc>
                <w:tcPr>
                  <w:tcW w:w="1254" w:type="dxa"/>
                  <w:noWrap w:val="0"/>
                  <w:vAlign w:val="center"/>
                </w:tcPr>
                <w:p w14:paraId="7C27B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380</w:t>
                  </w:r>
                </w:p>
              </w:tc>
              <w:tc>
                <w:tcPr>
                  <w:tcW w:w="1105" w:type="dxa"/>
                  <w:noWrap w:val="0"/>
                  <w:vAlign w:val="center"/>
                </w:tcPr>
                <w:p w14:paraId="73B042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95</w:t>
                  </w:r>
                </w:p>
              </w:tc>
              <w:tc>
                <w:tcPr>
                  <w:tcW w:w="1216" w:type="dxa"/>
                  <w:noWrap w:val="0"/>
                  <w:vAlign w:val="center"/>
                </w:tcPr>
                <w:p w14:paraId="4C080A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100</w:t>
                  </w:r>
                </w:p>
              </w:tc>
              <w:tc>
                <w:tcPr>
                  <w:tcW w:w="1305" w:type="dxa"/>
                  <w:tcBorders>
                    <w:right w:val="nil"/>
                  </w:tcBorders>
                  <w:noWrap w:val="0"/>
                  <w:vAlign w:val="center"/>
                </w:tcPr>
                <w:p w14:paraId="7F6B69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4000</w:t>
                  </w:r>
                </w:p>
              </w:tc>
            </w:tr>
            <w:tr w14:paraId="3CDE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tcBorders>
                    <w:left w:val="nil"/>
                  </w:tcBorders>
                  <w:noWrap w:val="0"/>
                  <w:vAlign w:val="center"/>
                </w:tcPr>
                <w:p w14:paraId="314E81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出水水质mg/L</w:t>
                  </w:r>
                </w:p>
              </w:tc>
              <w:tc>
                <w:tcPr>
                  <w:tcW w:w="1118" w:type="dxa"/>
                  <w:noWrap w:val="0"/>
                  <w:vAlign w:val="center"/>
                </w:tcPr>
                <w:p w14:paraId="006C45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70</w:t>
                  </w:r>
                </w:p>
              </w:tc>
              <w:tc>
                <w:tcPr>
                  <w:tcW w:w="1254" w:type="dxa"/>
                  <w:noWrap w:val="0"/>
                  <w:vAlign w:val="center"/>
                </w:tcPr>
                <w:p w14:paraId="520E0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18</w:t>
                  </w:r>
                  <w:r>
                    <w:rPr>
                      <w:rFonts w:hint="eastAsia" w:cs="Times New Roman"/>
                      <w:b w:val="0"/>
                      <w:bCs w:val="0"/>
                      <w:color w:val="000000"/>
                      <w:spacing w:val="2"/>
                      <w:sz w:val="21"/>
                      <w:szCs w:val="21"/>
                      <w:highlight w:val="none"/>
                      <w:vertAlign w:val="baseline"/>
                      <w:lang w:val="en-US" w:eastAsia="zh-CN"/>
                    </w:rPr>
                    <w:t>0</w:t>
                  </w:r>
                </w:p>
              </w:tc>
              <w:tc>
                <w:tcPr>
                  <w:tcW w:w="1105" w:type="dxa"/>
                  <w:noWrap w:val="0"/>
                  <w:vAlign w:val="center"/>
                </w:tcPr>
                <w:p w14:paraId="4CDE2D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40</w:t>
                  </w:r>
                </w:p>
              </w:tc>
              <w:tc>
                <w:tcPr>
                  <w:tcW w:w="1216" w:type="dxa"/>
                  <w:noWrap w:val="0"/>
                  <w:vAlign w:val="center"/>
                </w:tcPr>
                <w:p w14:paraId="653164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30</w:t>
                  </w:r>
                </w:p>
              </w:tc>
              <w:tc>
                <w:tcPr>
                  <w:tcW w:w="1305" w:type="dxa"/>
                  <w:tcBorders>
                    <w:right w:val="nil"/>
                  </w:tcBorders>
                  <w:noWrap w:val="0"/>
                  <w:vAlign w:val="center"/>
                </w:tcPr>
                <w:p w14:paraId="0FD76A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3</w:t>
                  </w:r>
                  <w:r>
                    <w:rPr>
                      <w:rFonts w:hint="eastAsia" w:ascii="Times New Roman" w:hAnsi="Times New Roman" w:eastAsia="宋体" w:cs="Times New Roman"/>
                      <w:b w:val="0"/>
                      <w:bCs w:val="0"/>
                      <w:color w:val="000000"/>
                      <w:spacing w:val="2"/>
                      <w:sz w:val="21"/>
                      <w:szCs w:val="21"/>
                      <w:highlight w:val="none"/>
                      <w:vertAlign w:val="baseline"/>
                      <w:lang w:val="en-US" w:eastAsia="zh-CN"/>
                    </w:rPr>
                    <w:t>0</w:t>
                  </w:r>
                </w:p>
              </w:tc>
            </w:tr>
            <w:tr w14:paraId="4DA5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tcBorders>
                    <w:left w:val="nil"/>
                  </w:tcBorders>
                  <w:noWrap w:val="0"/>
                  <w:vAlign w:val="center"/>
                </w:tcPr>
                <w:p w14:paraId="720018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污染物去除率</w:t>
                  </w:r>
                </w:p>
              </w:tc>
              <w:tc>
                <w:tcPr>
                  <w:tcW w:w="1118" w:type="dxa"/>
                  <w:noWrap w:val="0"/>
                  <w:vAlign w:val="center"/>
                </w:tcPr>
                <w:p w14:paraId="5CBB8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8</w:t>
                  </w:r>
                  <w:r>
                    <w:rPr>
                      <w:rFonts w:hint="eastAsia" w:ascii="Times New Roman" w:hAnsi="Times New Roman" w:eastAsia="宋体" w:cs="Times New Roman"/>
                      <w:b w:val="0"/>
                      <w:bCs w:val="0"/>
                      <w:color w:val="000000"/>
                      <w:spacing w:val="2"/>
                      <w:sz w:val="21"/>
                      <w:szCs w:val="21"/>
                      <w:highlight w:val="none"/>
                      <w:vertAlign w:val="baseline"/>
                      <w:lang w:val="en-US" w:eastAsia="zh-CN"/>
                    </w:rPr>
                    <w:t>0%</w:t>
                  </w:r>
                </w:p>
              </w:tc>
              <w:tc>
                <w:tcPr>
                  <w:tcW w:w="1254" w:type="dxa"/>
                  <w:noWrap w:val="0"/>
                  <w:vAlign w:val="center"/>
                </w:tcPr>
                <w:p w14:paraId="58607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53</w:t>
                  </w:r>
                  <w:r>
                    <w:rPr>
                      <w:rFonts w:hint="eastAsia" w:ascii="Times New Roman" w:hAnsi="Times New Roman" w:eastAsia="宋体" w:cs="Times New Roman"/>
                      <w:b w:val="0"/>
                      <w:bCs w:val="0"/>
                      <w:color w:val="000000"/>
                      <w:spacing w:val="2"/>
                      <w:sz w:val="21"/>
                      <w:szCs w:val="21"/>
                      <w:highlight w:val="none"/>
                      <w:vertAlign w:val="baseline"/>
                      <w:lang w:val="en-US" w:eastAsia="zh-CN"/>
                    </w:rPr>
                    <w:t>%</w:t>
                  </w:r>
                </w:p>
              </w:tc>
              <w:tc>
                <w:tcPr>
                  <w:tcW w:w="1105" w:type="dxa"/>
                  <w:noWrap w:val="0"/>
                  <w:vAlign w:val="center"/>
                </w:tcPr>
                <w:p w14:paraId="46AD7B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58</w:t>
                  </w:r>
                  <w:r>
                    <w:rPr>
                      <w:rFonts w:hint="eastAsia" w:ascii="Times New Roman" w:hAnsi="Times New Roman" w:eastAsia="宋体" w:cs="Times New Roman"/>
                      <w:b w:val="0"/>
                      <w:bCs w:val="0"/>
                      <w:color w:val="000000"/>
                      <w:spacing w:val="2"/>
                      <w:sz w:val="21"/>
                      <w:szCs w:val="21"/>
                      <w:highlight w:val="none"/>
                      <w:vertAlign w:val="baseline"/>
                      <w:lang w:val="en-US" w:eastAsia="zh-CN"/>
                    </w:rPr>
                    <w:t>%</w:t>
                  </w:r>
                </w:p>
              </w:tc>
              <w:tc>
                <w:tcPr>
                  <w:tcW w:w="1216" w:type="dxa"/>
                  <w:noWrap w:val="0"/>
                  <w:vAlign w:val="center"/>
                </w:tcPr>
                <w:p w14:paraId="3C52E7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cs="Times New Roman"/>
                      <w:b w:val="0"/>
                      <w:bCs w:val="0"/>
                      <w:color w:val="000000"/>
                      <w:spacing w:val="2"/>
                      <w:sz w:val="21"/>
                      <w:szCs w:val="21"/>
                      <w:highlight w:val="none"/>
                      <w:vertAlign w:val="baseline"/>
                      <w:lang w:val="en-US" w:eastAsia="zh-CN"/>
                    </w:rPr>
                    <w:t>70</w:t>
                  </w:r>
                  <w:r>
                    <w:rPr>
                      <w:rFonts w:hint="eastAsia" w:ascii="Times New Roman" w:hAnsi="Times New Roman" w:eastAsia="宋体" w:cs="Times New Roman"/>
                      <w:b w:val="0"/>
                      <w:bCs w:val="0"/>
                      <w:color w:val="000000"/>
                      <w:spacing w:val="2"/>
                      <w:sz w:val="21"/>
                      <w:szCs w:val="21"/>
                      <w:highlight w:val="none"/>
                      <w:vertAlign w:val="baseline"/>
                      <w:lang w:val="en-US" w:eastAsia="zh-CN"/>
                    </w:rPr>
                    <w:t>%</w:t>
                  </w:r>
                </w:p>
              </w:tc>
              <w:tc>
                <w:tcPr>
                  <w:tcW w:w="1305" w:type="dxa"/>
                  <w:tcBorders>
                    <w:right w:val="nil"/>
                  </w:tcBorders>
                  <w:noWrap w:val="0"/>
                  <w:vAlign w:val="center"/>
                </w:tcPr>
                <w:p w14:paraId="0537E2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9</w:t>
                  </w:r>
                  <w:r>
                    <w:rPr>
                      <w:rFonts w:hint="eastAsia" w:cs="Times New Roman"/>
                      <w:b w:val="0"/>
                      <w:bCs w:val="0"/>
                      <w:color w:val="000000"/>
                      <w:spacing w:val="2"/>
                      <w:sz w:val="21"/>
                      <w:szCs w:val="21"/>
                      <w:highlight w:val="none"/>
                      <w:vertAlign w:val="baseline"/>
                      <w:lang w:val="en-US" w:eastAsia="zh-CN"/>
                    </w:rPr>
                    <w:t>9</w:t>
                  </w:r>
                  <w:r>
                    <w:rPr>
                      <w:rFonts w:hint="eastAsia" w:ascii="Times New Roman" w:hAnsi="Times New Roman" w:eastAsia="宋体" w:cs="Times New Roman"/>
                      <w:b w:val="0"/>
                      <w:bCs w:val="0"/>
                      <w:color w:val="000000"/>
                      <w:spacing w:val="2"/>
                      <w:sz w:val="21"/>
                      <w:szCs w:val="21"/>
                      <w:highlight w:val="none"/>
                      <w:vertAlign w:val="baseline"/>
                      <w:lang w:val="en-US" w:eastAsia="zh-CN"/>
                    </w:rPr>
                    <w:t>%</w:t>
                  </w:r>
                </w:p>
              </w:tc>
            </w:tr>
            <w:tr w14:paraId="2248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tcBorders>
                    <w:left w:val="nil"/>
                  </w:tcBorders>
                  <w:noWrap w:val="0"/>
                  <w:vAlign w:val="center"/>
                </w:tcPr>
                <w:p w14:paraId="3CDEB6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GB8978-1996</w:t>
                  </w:r>
                </w:p>
                <w:p w14:paraId="147CF9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GB/T31962-2015</w:t>
                  </w:r>
                </w:p>
              </w:tc>
              <w:tc>
                <w:tcPr>
                  <w:tcW w:w="1118" w:type="dxa"/>
                  <w:noWrap w:val="0"/>
                  <w:vAlign w:val="center"/>
                </w:tcPr>
                <w:p w14:paraId="4AC143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500mg/L</w:t>
                  </w:r>
                </w:p>
              </w:tc>
              <w:tc>
                <w:tcPr>
                  <w:tcW w:w="1254" w:type="dxa"/>
                  <w:noWrap w:val="0"/>
                  <w:vAlign w:val="center"/>
                </w:tcPr>
                <w:p w14:paraId="536C7F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300mg/L</w:t>
                  </w:r>
                </w:p>
              </w:tc>
              <w:tc>
                <w:tcPr>
                  <w:tcW w:w="1105" w:type="dxa"/>
                  <w:noWrap w:val="0"/>
                  <w:vAlign w:val="center"/>
                </w:tcPr>
                <w:p w14:paraId="0DED92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400mg/L</w:t>
                  </w:r>
                </w:p>
              </w:tc>
              <w:tc>
                <w:tcPr>
                  <w:tcW w:w="1216" w:type="dxa"/>
                  <w:noWrap w:val="0"/>
                  <w:vAlign w:val="center"/>
                </w:tcPr>
                <w:p w14:paraId="32272E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45mg/L</w:t>
                  </w:r>
                </w:p>
              </w:tc>
              <w:tc>
                <w:tcPr>
                  <w:tcW w:w="1305" w:type="dxa"/>
                  <w:tcBorders>
                    <w:right w:val="nil"/>
                  </w:tcBorders>
                  <w:noWrap w:val="0"/>
                  <w:vAlign w:val="center"/>
                </w:tcPr>
                <w:p w14:paraId="292642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30</w:t>
                  </w:r>
                </w:p>
              </w:tc>
            </w:tr>
            <w:tr w14:paraId="1E22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tcBorders>
                    <w:left w:val="nil"/>
                  </w:tcBorders>
                  <w:noWrap w:val="0"/>
                  <w:vAlign w:val="center"/>
                </w:tcPr>
                <w:p w14:paraId="24047C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是否达标</w:t>
                  </w:r>
                </w:p>
              </w:tc>
              <w:tc>
                <w:tcPr>
                  <w:tcW w:w="1118" w:type="dxa"/>
                  <w:noWrap w:val="0"/>
                  <w:vAlign w:val="center"/>
                </w:tcPr>
                <w:p w14:paraId="637848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达标</w:t>
                  </w:r>
                </w:p>
              </w:tc>
              <w:tc>
                <w:tcPr>
                  <w:tcW w:w="1254" w:type="dxa"/>
                  <w:noWrap w:val="0"/>
                  <w:vAlign w:val="center"/>
                </w:tcPr>
                <w:p w14:paraId="32575B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达标</w:t>
                  </w:r>
                </w:p>
              </w:tc>
              <w:tc>
                <w:tcPr>
                  <w:tcW w:w="1105" w:type="dxa"/>
                  <w:noWrap w:val="0"/>
                  <w:vAlign w:val="center"/>
                </w:tcPr>
                <w:p w14:paraId="6DA1F7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达标</w:t>
                  </w:r>
                </w:p>
              </w:tc>
              <w:tc>
                <w:tcPr>
                  <w:tcW w:w="1216" w:type="dxa"/>
                  <w:noWrap w:val="0"/>
                  <w:vAlign w:val="center"/>
                </w:tcPr>
                <w:p w14:paraId="3BA3D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达标</w:t>
                  </w:r>
                </w:p>
              </w:tc>
              <w:tc>
                <w:tcPr>
                  <w:tcW w:w="1305" w:type="dxa"/>
                  <w:tcBorders>
                    <w:right w:val="nil"/>
                  </w:tcBorders>
                  <w:noWrap w:val="0"/>
                  <w:vAlign w:val="center"/>
                </w:tcPr>
                <w:p w14:paraId="2D00FB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达标</w:t>
                  </w:r>
                </w:p>
              </w:tc>
            </w:tr>
            <w:tr w14:paraId="3158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5" w:type="dxa"/>
                  <w:gridSpan w:val="6"/>
                  <w:tcBorders>
                    <w:left w:val="nil"/>
                    <w:bottom w:val="single" w:color="auto" w:sz="12" w:space="0"/>
                    <w:right w:val="nil"/>
                  </w:tcBorders>
                  <w:noWrap w:val="0"/>
                  <w:vAlign w:val="center"/>
                </w:tcPr>
                <w:p w14:paraId="0B3B53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pacing w:val="2"/>
                      <w:sz w:val="21"/>
                      <w:szCs w:val="21"/>
                      <w:highlight w:val="none"/>
                      <w:vertAlign w:val="baseline"/>
                      <w:lang w:val="en-US" w:eastAsia="zh-CN"/>
                    </w:rPr>
                  </w:pPr>
                  <w:r>
                    <w:rPr>
                      <w:rFonts w:hint="eastAsia" w:ascii="Times New Roman" w:hAnsi="Times New Roman" w:eastAsia="宋体" w:cs="Times New Roman"/>
                      <w:b w:val="0"/>
                      <w:bCs w:val="0"/>
                      <w:color w:val="000000"/>
                      <w:spacing w:val="2"/>
                      <w:sz w:val="21"/>
                      <w:szCs w:val="21"/>
                      <w:highlight w:val="none"/>
                      <w:vertAlign w:val="baseline"/>
                      <w:lang w:val="en-US" w:eastAsia="zh-CN"/>
                    </w:rPr>
                    <w:t>注：项目进水水质情况</w:t>
                  </w:r>
                  <w:r>
                    <w:rPr>
                      <w:rFonts w:hint="eastAsia" w:cs="Times New Roman"/>
                      <w:b w:val="0"/>
                      <w:bCs w:val="0"/>
                      <w:color w:val="000000"/>
                      <w:spacing w:val="2"/>
                      <w:sz w:val="21"/>
                      <w:szCs w:val="21"/>
                      <w:highlight w:val="none"/>
                      <w:vertAlign w:val="baseline"/>
                      <w:lang w:val="en-US" w:eastAsia="zh-CN"/>
                    </w:rPr>
                    <w:t>参考</w:t>
                  </w:r>
                  <w:r>
                    <w:rPr>
                      <w:rFonts w:hint="eastAsia" w:ascii="Times New Roman" w:hAnsi="Times New Roman" w:eastAsia="宋体" w:cs="Times New Roman"/>
                      <w:b w:val="0"/>
                      <w:bCs w:val="0"/>
                      <w:color w:val="000000"/>
                      <w:spacing w:val="2"/>
                      <w:sz w:val="21"/>
                      <w:szCs w:val="21"/>
                      <w:highlight w:val="none"/>
                      <w:vertAlign w:val="baseline"/>
                      <w:lang w:val="en-US" w:eastAsia="zh-CN"/>
                    </w:rPr>
                    <w:t>《泉州隆泰服装印花有限公司迁扩建项目竣工环境保护验收监测表》</w:t>
                  </w:r>
                </w:p>
              </w:tc>
            </w:tr>
          </w:tbl>
          <w:p w14:paraId="698B1F58">
            <w:pPr>
              <w:keepNext w:val="0"/>
              <w:keepLines w:val="0"/>
              <w:pageBreakBefore w:val="0"/>
              <w:widowControl w:val="0"/>
              <w:kinsoku/>
              <w:wordWrap/>
              <w:overflowPunct/>
              <w:topLinePunct w:val="0"/>
              <w:autoSpaceDE/>
              <w:autoSpaceDN/>
              <w:bidi w:val="0"/>
              <w:adjustRightInd/>
              <w:snapToGrid/>
              <w:spacing w:before="157" w:beforeLines="50" w:line="360" w:lineRule="auto"/>
              <w:ind w:firstLine="488" w:firstLineChars="200"/>
              <w:jc w:val="both"/>
              <w:textAlignment w:val="auto"/>
              <w:rPr>
                <w:rFonts w:hint="eastAsia" w:ascii="Times New Roman" w:hAnsi="Times New Roman" w:eastAsia="宋体" w:cs="Times New Roman"/>
                <w:color w:val="000000"/>
                <w:spacing w:val="2"/>
                <w:sz w:val="24"/>
                <w:szCs w:val="24"/>
                <w:highlight w:val="none"/>
                <w:lang w:val="en-US" w:eastAsia="zh-CN"/>
              </w:rPr>
            </w:pPr>
            <w:r>
              <w:rPr>
                <w:rFonts w:hint="eastAsia" w:ascii="Times New Roman" w:hAnsi="Times New Roman" w:eastAsia="宋体" w:cs="Times New Roman"/>
                <w:color w:val="000000"/>
                <w:spacing w:val="2"/>
                <w:sz w:val="24"/>
                <w:szCs w:val="24"/>
                <w:highlight w:val="none"/>
                <w:lang w:val="en-US" w:eastAsia="zh-CN"/>
              </w:rPr>
              <w:t>根据上表可知，项目废水经废水处理设施处理后，出水水质可满足GB8978-1996《污水综合排放标准》表4三级标准其中色度、氨氮参照GB/T31962-2015《污水排入城镇下水道水质标准</w:t>
            </w:r>
            <w:r>
              <w:rPr>
                <w:rFonts w:hint="eastAsia" w:cs="Times New Roman"/>
                <w:color w:val="000000"/>
                <w:spacing w:val="2"/>
                <w:sz w:val="24"/>
                <w:szCs w:val="24"/>
                <w:highlight w:val="none"/>
                <w:lang w:val="en-US" w:eastAsia="zh-CN"/>
              </w:rPr>
              <w:t>》</w:t>
            </w:r>
            <w:r>
              <w:rPr>
                <w:rFonts w:hint="eastAsia" w:ascii="Times New Roman" w:hAnsi="Times New Roman" w:eastAsia="宋体" w:cs="Times New Roman"/>
                <w:color w:val="000000"/>
                <w:spacing w:val="2"/>
                <w:sz w:val="24"/>
                <w:szCs w:val="24"/>
                <w:highlight w:val="none"/>
                <w:lang w:val="en-US" w:eastAsia="zh-CN"/>
              </w:rPr>
              <w:t>中B等级要求。</w:t>
            </w:r>
          </w:p>
          <w:p w14:paraId="212143CA">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eastAsia" w:ascii="Times New Roman" w:hAnsi="Times New Roman" w:eastAsia="宋体" w:cs="Times New Roman"/>
                <w:b/>
                <w:bCs/>
                <w:color w:val="000000"/>
                <w:spacing w:val="2"/>
                <w:sz w:val="24"/>
                <w:szCs w:val="24"/>
                <w:highlight w:val="none"/>
                <w:lang w:val="en-US" w:eastAsia="zh-CN"/>
              </w:rPr>
            </w:pPr>
            <w:r>
              <w:rPr>
                <w:rFonts w:hint="eastAsia" w:ascii="Times New Roman" w:hAnsi="Times New Roman" w:eastAsia="宋体" w:cs="Times New Roman"/>
                <w:b/>
                <w:bCs/>
                <w:color w:val="000000"/>
                <w:spacing w:val="2"/>
                <w:sz w:val="24"/>
                <w:szCs w:val="24"/>
                <w:highlight w:val="none"/>
                <w:lang w:val="en-US" w:eastAsia="zh-CN"/>
              </w:rPr>
              <w:t>（2）生活污水</w:t>
            </w:r>
          </w:p>
          <w:p w14:paraId="6149AE98">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eastAsia" w:ascii="Times New Roman" w:hAnsi="Times New Roman" w:eastAsia="宋体" w:cs="Times New Roman"/>
                <w:b/>
                <w:bCs/>
                <w:color w:val="000000"/>
                <w:spacing w:val="2"/>
                <w:sz w:val="24"/>
                <w:szCs w:val="24"/>
                <w:highlight w:val="none"/>
                <w:lang w:val="en-US" w:eastAsia="zh-CN"/>
              </w:rPr>
            </w:pPr>
            <w:r>
              <w:rPr>
                <w:rFonts w:hint="eastAsia" w:ascii="Times New Roman" w:hAnsi="Times New Roman" w:eastAsia="宋体" w:cs="Times New Roman"/>
                <w:b/>
                <w:bCs/>
                <w:color w:val="000000"/>
                <w:spacing w:val="2"/>
                <w:sz w:val="24"/>
                <w:szCs w:val="24"/>
                <w:highlight w:val="none"/>
                <w:lang w:val="en-US" w:eastAsia="zh-CN"/>
              </w:rPr>
              <w:t>i化粪池处理原理</w:t>
            </w:r>
          </w:p>
          <w:p w14:paraId="71E65F54">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both"/>
              <w:textAlignment w:val="auto"/>
              <w:rPr>
                <w:rFonts w:hint="default" w:ascii="Times New Roman" w:hAnsi="Times New Roman" w:eastAsia="宋体" w:cs="Times New Roman"/>
                <w:b w:val="0"/>
                <w:bCs w:val="0"/>
                <w:color w:val="000000"/>
                <w:spacing w:val="2"/>
                <w:sz w:val="24"/>
                <w:szCs w:val="24"/>
                <w:highlight w:val="none"/>
                <w:lang w:val="en-US" w:eastAsia="zh-CN"/>
              </w:rPr>
            </w:pPr>
            <w:r>
              <w:rPr>
                <w:rFonts w:hint="default" w:ascii="Times New Roman" w:hAnsi="Times New Roman" w:eastAsia="宋体" w:cs="Times New Roman"/>
                <w:b w:val="0"/>
                <w:bCs w:val="0"/>
                <w:color w:val="000000"/>
                <w:spacing w:val="2"/>
                <w:sz w:val="24"/>
                <w:szCs w:val="24"/>
                <w:highlight w:val="none"/>
                <w:lang w:val="en-US" w:eastAsia="zh-CN"/>
              </w:rPr>
              <w:t>三级化粪池由相联的三个池子组成，中间由过粪管联通，主要是利用厌氧发酵、中层过粪和寄生虫卵比重大于一般混合液比重而易于沉淀的原理，粪便在池 内经过 30 天以上的发酵分解，中层粪液依次由1池流至3池，以达到沉淀或杀灭粪便中寄生虫卵和肠道致病菌的目的，第3池类液成为优质化肥。新鲜粪便由进类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面将大部分未经充分发酵的皮和粪渣阻留在第一池内继续发酵。流入第二池的类液进一步发酵分解，虫卵维续下沉，原体逐渐死亡，粪得到进步无害化，产生的粪皮和粪厚度比第一池显著减少。流入第三池的粪液一般已经腐熟，其中病菌和寄生虫卵已基本杀灭。第三池功能主要起储存已基本无害化的液作用。</w:t>
            </w:r>
          </w:p>
          <w:p w14:paraId="2E5B3720">
            <w:pPr>
              <w:keepNext w:val="0"/>
              <w:keepLines w:val="0"/>
              <w:pageBreakBefore w:val="0"/>
              <w:widowControl w:val="0"/>
              <w:kinsoku/>
              <w:wordWrap/>
              <w:overflowPunct/>
              <w:topLinePunct w:val="0"/>
              <w:autoSpaceDE/>
              <w:autoSpaceDN/>
              <w:bidi w:val="0"/>
              <w:adjustRightInd/>
              <w:snapToGrid/>
              <w:spacing w:line="360" w:lineRule="auto"/>
              <w:ind w:firstLine="490" w:firstLineChars="200"/>
              <w:jc w:val="both"/>
              <w:textAlignment w:val="auto"/>
              <w:rPr>
                <w:rFonts w:hint="eastAsia" w:ascii="Times New Roman" w:hAnsi="Times New Roman" w:eastAsia="宋体" w:cs="Times New Roman"/>
                <w:b/>
                <w:bCs/>
                <w:color w:val="000000"/>
                <w:spacing w:val="2"/>
                <w:sz w:val="24"/>
                <w:szCs w:val="24"/>
                <w:highlight w:val="none"/>
                <w:lang w:val="en-US" w:eastAsia="zh-CN"/>
              </w:rPr>
            </w:pPr>
            <w:r>
              <w:rPr>
                <w:rFonts w:hint="eastAsia" w:ascii="Times New Roman" w:hAnsi="Times New Roman" w:eastAsia="宋体" w:cs="Times New Roman"/>
                <w:b/>
                <w:bCs/>
                <w:color w:val="000000"/>
                <w:spacing w:val="2"/>
                <w:sz w:val="24"/>
                <w:szCs w:val="24"/>
                <w:highlight w:val="none"/>
                <w:lang w:val="en-US" w:eastAsia="zh-CN"/>
              </w:rPr>
              <w:t>ii化粪池处理措施可行性分析</w:t>
            </w:r>
          </w:p>
          <w:p w14:paraId="477D8B01">
            <w:pPr>
              <w:keepNext w:val="0"/>
              <w:keepLines w:val="0"/>
              <w:pageBreakBefore w:val="0"/>
              <w:widowControl w:val="0"/>
              <w:kinsoku/>
              <w:wordWrap/>
              <w:overflowPunct/>
              <w:topLinePunct w:val="0"/>
              <w:autoSpaceDE/>
              <w:autoSpaceDN/>
              <w:bidi w:val="0"/>
              <w:adjustRightInd/>
              <w:snapToGrid/>
              <w:spacing w:line="360" w:lineRule="auto"/>
              <w:ind w:firstLine="488" w:firstLineChars="200"/>
              <w:jc w:val="both"/>
              <w:textAlignment w:val="auto"/>
              <w:rPr>
                <w:rFonts w:hint="default" w:ascii="Times New Roman" w:hAnsi="Times New Roman" w:eastAsia="宋体" w:cs="Times New Roman"/>
                <w:b w:val="0"/>
                <w:bCs w:val="0"/>
                <w:color w:val="000000"/>
                <w:spacing w:val="2"/>
                <w:sz w:val="24"/>
                <w:szCs w:val="24"/>
                <w:highlight w:val="none"/>
                <w:lang w:val="en-US" w:eastAsia="zh-CN"/>
              </w:rPr>
            </w:pPr>
            <w:r>
              <w:rPr>
                <w:rFonts w:hint="default" w:ascii="Times New Roman" w:hAnsi="Times New Roman" w:eastAsia="宋体" w:cs="Times New Roman"/>
                <w:b w:val="0"/>
                <w:bCs w:val="0"/>
                <w:color w:val="000000"/>
                <w:spacing w:val="2"/>
                <w:sz w:val="24"/>
                <w:szCs w:val="24"/>
                <w:highlight w:val="none"/>
                <w:lang w:val="en-US" w:eastAsia="zh-CN"/>
              </w:rPr>
              <w:t>项目依托出租方设置的地埋式化类池，本项目出租方化类池</w:t>
            </w:r>
            <w:r>
              <w:rPr>
                <w:rFonts w:hint="eastAsia" w:ascii="Times New Roman" w:hAnsi="Times New Roman" w:eastAsia="宋体" w:cs="Times New Roman"/>
                <w:b w:val="0"/>
                <w:bCs w:val="0"/>
                <w:color w:val="000000"/>
                <w:spacing w:val="2"/>
                <w:sz w:val="24"/>
                <w:szCs w:val="24"/>
                <w:highlight w:val="none"/>
                <w:lang w:val="en-US" w:eastAsia="zh-CN"/>
              </w:rPr>
              <w:t>处理能力为100m</w:t>
            </w:r>
            <w:r>
              <w:rPr>
                <w:rFonts w:hint="eastAsia" w:ascii="Times New Roman" w:hAnsi="Times New Roman" w:eastAsia="宋体" w:cs="Times New Roman"/>
                <w:b w:val="0"/>
                <w:bCs w:val="0"/>
                <w:color w:val="000000"/>
                <w:spacing w:val="2"/>
                <w:sz w:val="24"/>
                <w:szCs w:val="24"/>
                <w:highlight w:val="none"/>
                <w:vertAlign w:val="superscript"/>
                <w:lang w:val="en-US" w:eastAsia="zh-CN"/>
              </w:rPr>
              <w:t>3</w:t>
            </w:r>
            <w:r>
              <w:rPr>
                <w:rFonts w:hint="eastAsia" w:ascii="Times New Roman" w:hAnsi="Times New Roman" w:eastAsia="宋体" w:cs="Times New Roman"/>
                <w:b w:val="0"/>
                <w:bCs w:val="0"/>
                <w:color w:val="000000"/>
                <w:spacing w:val="2"/>
                <w:sz w:val="24"/>
                <w:szCs w:val="24"/>
                <w:highlight w:val="none"/>
                <w:lang w:val="en-US" w:eastAsia="zh-CN"/>
              </w:rPr>
              <w:t>/d，</w:t>
            </w:r>
            <w:r>
              <w:rPr>
                <w:rFonts w:hint="default" w:ascii="Times New Roman" w:hAnsi="Times New Roman" w:eastAsia="宋体" w:cs="Times New Roman"/>
                <w:b w:val="0"/>
                <w:bCs w:val="0"/>
                <w:color w:val="000000"/>
                <w:spacing w:val="2"/>
                <w:sz w:val="24"/>
                <w:szCs w:val="24"/>
                <w:highlight w:val="none"/>
                <w:lang w:val="en-US" w:eastAsia="zh-CN"/>
              </w:rPr>
              <w:t>本项目生活污水排放量为</w:t>
            </w:r>
            <w:r>
              <w:rPr>
                <w:rFonts w:hint="eastAsia" w:cs="Times New Roman"/>
                <w:b w:val="0"/>
                <w:bCs w:val="0"/>
                <w:color w:val="000000"/>
                <w:spacing w:val="2"/>
                <w:sz w:val="24"/>
                <w:szCs w:val="24"/>
                <w:highlight w:val="none"/>
                <w:lang w:val="en-US" w:eastAsia="zh-CN"/>
              </w:rPr>
              <w:t>7.2</w:t>
            </w:r>
            <w:r>
              <w:rPr>
                <w:rFonts w:hint="eastAsia" w:ascii="Times New Roman" w:hAnsi="Times New Roman" w:eastAsia="宋体" w:cs="Times New Roman"/>
                <w:b w:val="0"/>
                <w:bCs w:val="0"/>
                <w:color w:val="000000"/>
                <w:spacing w:val="2"/>
                <w:sz w:val="24"/>
                <w:szCs w:val="24"/>
                <w:highlight w:val="none"/>
                <w:lang w:val="en-US" w:eastAsia="zh-CN"/>
              </w:rPr>
              <w:t>t/d（</w:t>
            </w:r>
            <w:r>
              <w:rPr>
                <w:rFonts w:hint="eastAsia" w:cs="Times New Roman"/>
                <w:b w:val="0"/>
                <w:bCs w:val="0"/>
                <w:color w:val="000000"/>
                <w:spacing w:val="2"/>
                <w:sz w:val="24"/>
                <w:szCs w:val="24"/>
                <w:highlight w:val="none"/>
                <w:lang w:val="en-US" w:eastAsia="zh-CN"/>
              </w:rPr>
              <w:t>2160</w:t>
            </w:r>
            <w:r>
              <w:rPr>
                <w:rFonts w:hint="eastAsia" w:ascii="Times New Roman" w:hAnsi="Times New Roman" w:eastAsia="宋体" w:cs="Times New Roman"/>
                <w:b w:val="0"/>
                <w:bCs w:val="0"/>
                <w:color w:val="000000"/>
                <w:spacing w:val="2"/>
                <w:sz w:val="24"/>
                <w:szCs w:val="24"/>
                <w:highlight w:val="none"/>
                <w:lang w:val="en-US" w:eastAsia="zh-CN"/>
              </w:rPr>
              <w:t>t/a）</w:t>
            </w:r>
            <w:r>
              <w:rPr>
                <w:rFonts w:hint="default" w:ascii="Times New Roman" w:hAnsi="Times New Roman" w:eastAsia="宋体" w:cs="Times New Roman"/>
                <w:b w:val="0"/>
                <w:bCs w:val="0"/>
                <w:color w:val="000000"/>
                <w:spacing w:val="2"/>
                <w:sz w:val="24"/>
                <w:szCs w:val="24"/>
                <w:highlight w:val="none"/>
                <w:lang w:val="en-US" w:eastAsia="zh-CN"/>
              </w:rPr>
              <w:t>，能满足处理本项目生活污水的需要，因此项目生活污水依托出租方化粪池处理是可行的。综合分析，本项目生活污水治理措施可行。</w:t>
            </w:r>
          </w:p>
          <w:p w14:paraId="2AF085BD">
            <w:pPr>
              <w:pStyle w:val="13"/>
              <w:snapToGrid w:val="0"/>
              <w:spacing w:before="0" w:beforeLines="0" w:line="360" w:lineRule="auto"/>
              <w:ind w:left="0" w:leftChars="0" w:right="0" w:firstLine="0" w:firstLineChars="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4.2.2.</w:t>
            </w:r>
            <w:r>
              <w:rPr>
                <w:rFonts w:hint="eastAsia" w:ascii="Times New Roman" w:hAnsi="Times New Roman" w:eastAsia="宋体"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lang w:eastAsia="zh-CN"/>
              </w:rPr>
              <w:t>晋江仙石</w:t>
            </w:r>
            <w:r>
              <w:rPr>
                <w:rFonts w:hint="default" w:ascii="Times New Roman" w:hAnsi="Times New Roman" w:eastAsia="宋体" w:cs="Times New Roman"/>
                <w:b/>
                <w:color w:val="auto"/>
                <w:sz w:val="24"/>
                <w:szCs w:val="24"/>
                <w:highlight w:val="none"/>
              </w:rPr>
              <w:t>污水处理厂接纳本项目废水的可行性分析</w:t>
            </w:r>
          </w:p>
          <w:p w14:paraId="0CB84C52">
            <w:pPr>
              <w:spacing w:line="360" w:lineRule="auto"/>
              <w:ind w:firstLine="480" w:firstLineChars="200"/>
              <w:jc w:val="both"/>
              <w:rPr>
                <w:rFonts w:hint="default" w:ascii="Times New Roman" w:hAnsi="Times New Roman" w:eastAsia="宋体" w:cs="Times New Roman"/>
                <w:color w:val="000000"/>
                <w:sz w:val="24"/>
                <w:szCs w:val="24"/>
                <w:highlight w:val="none"/>
                <w:lang w:bidi="ar"/>
              </w:rPr>
            </w:pPr>
            <w:r>
              <w:rPr>
                <w:rFonts w:hint="default" w:ascii="Times New Roman" w:hAnsi="Times New Roman" w:eastAsia="宋体" w:cs="Times New Roman"/>
                <w:color w:val="000000"/>
                <w:sz w:val="24"/>
                <w:szCs w:val="24"/>
                <w:highlight w:val="none"/>
                <w:lang w:bidi="ar"/>
              </w:rPr>
              <w:t>（1）污水管网接纳的可行性分析</w:t>
            </w:r>
          </w:p>
          <w:p w14:paraId="6669A385">
            <w:pPr>
              <w:spacing w:line="360" w:lineRule="auto"/>
              <w:ind w:firstLine="480" w:firstLineChars="200"/>
              <w:jc w:val="both"/>
              <w:rPr>
                <w:rFonts w:hint="default" w:ascii="Times New Roman" w:hAnsi="Times New Roman" w:eastAsia="宋体" w:cs="Times New Roman"/>
                <w:color w:val="000000"/>
                <w:sz w:val="24"/>
                <w:szCs w:val="24"/>
                <w:highlight w:val="none"/>
                <w:lang w:bidi="ar"/>
              </w:rPr>
            </w:pPr>
            <w:r>
              <w:rPr>
                <w:rFonts w:hint="default" w:ascii="Times New Roman" w:hAnsi="Times New Roman" w:eastAsia="宋体" w:cs="Times New Roman"/>
                <w:color w:val="000000"/>
                <w:sz w:val="24"/>
                <w:szCs w:val="24"/>
                <w:highlight w:val="none"/>
                <w:lang w:eastAsia="zh-CN" w:bidi="ar"/>
              </w:rPr>
              <w:t>本项目</w:t>
            </w:r>
            <w:r>
              <w:rPr>
                <w:rFonts w:hint="default" w:ascii="Times New Roman" w:hAnsi="Times New Roman" w:eastAsia="宋体" w:cs="Times New Roman"/>
                <w:color w:val="000000"/>
                <w:sz w:val="24"/>
                <w:szCs w:val="24"/>
                <w:highlight w:val="none"/>
                <w:lang w:bidi="ar"/>
              </w:rPr>
              <w:t>位于</w:t>
            </w:r>
            <w:r>
              <w:rPr>
                <w:rFonts w:hint="eastAsia" w:cs="Times New Roman"/>
                <w:color w:val="000000"/>
                <w:kern w:val="0"/>
                <w:sz w:val="24"/>
                <w:szCs w:val="24"/>
                <w:highlight w:val="none"/>
                <w:lang w:val="en-US" w:eastAsia="zh-CN" w:bidi="ar-SA"/>
              </w:rPr>
              <w:t>福建省泉州市鲤城区紫安路1号</w:t>
            </w:r>
            <w:r>
              <w:rPr>
                <w:rFonts w:hint="default" w:ascii="Times New Roman" w:hAnsi="Times New Roman" w:eastAsia="宋体" w:cs="Times New Roman"/>
                <w:color w:val="000000"/>
                <w:sz w:val="24"/>
                <w:szCs w:val="24"/>
                <w:highlight w:val="none"/>
                <w:lang w:bidi="ar"/>
              </w:rPr>
              <w:t>，</w:t>
            </w:r>
            <w:r>
              <w:rPr>
                <w:rFonts w:hint="eastAsia" w:ascii="Times New Roman" w:hAnsi="Times New Roman" w:eastAsia="宋体" w:cs="Times New Roman"/>
                <w:color w:val="000000"/>
                <w:sz w:val="24"/>
                <w:szCs w:val="24"/>
                <w:highlight w:val="none"/>
                <w:lang w:eastAsia="zh-CN" w:bidi="ar"/>
              </w:rPr>
              <w:t>根据鲤城区污水管网现状图（见附图</w:t>
            </w:r>
            <w:r>
              <w:rPr>
                <w:rFonts w:hint="eastAsia" w:ascii="Times New Roman" w:hAnsi="Times New Roman" w:eastAsia="宋体" w:cs="Times New Roman"/>
                <w:color w:val="000000"/>
                <w:sz w:val="24"/>
                <w:szCs w:val="24"/>
                <w:highlight w:val="none"/>
                <w:lang w:val="en-US" w:eastAsia="zh-CN" w:bidi="ar"/>
              </w:rPr>
              <w:t>8</w:t>
            </w:r>
            <w:r>
              <w:rPr>
                <w:rFonts w:hint="eastAsia" w:ascii="Times New Roman" w:hAnsi="Times New Roman" w:eastAsia="宋体" w:cs="Times New Roman"/>
                <w:color w:val="000000"/>
                <w:sz w:val="24"/>
                <w:szCs w:val="24"/>
                <w:highlight w:val="none"/>
                <w:lang w:eastAsia="zh-CN" w:bidi="ar"/>
              </w:rPr>
              <w:t>）可知，</w:t>
            </w:r>
            <w:r>
              <w:rPr>
                <w:rFonts w:hint="default" w:ascii="Times New Roman" w:hAnsi="Times New Roman" w:eastAsia="宋体" w:cs="Times New Roman"/>
                <w:color w:val="000000"/>
                <w:sz w:val="24"/>
                <w:szCs w:val="24"/>
                <w:highlight w:val="none"/>
                <w:lang w:bidi="ar"/>
              </w:rPr>
              <w:t>其用地在</w:t>
            </w:r>
            <w:r>
              <w:rPr>
                <w:rFonts w:hint="eastAsia" w:ascii="Times New Roman" w:hAnsi="Times New Roman" w:eastAsia="宋体" w:cs="Times New Roman"/>
                <w:color w:val="000000"/>
                <w:sz w:val="24"/>
                <w:szCs w:val="24"/>
                <w:highlight w:val="none"/>
                <w:lang w:eastAsia="zh-CN" w:bidi="ar"/>
              </w:rPr>
              <w:t>晋江仙石污水处理厂</w:t>
            </w:r>
            <w:r>
              <w:rPr>
                <w:rFonts w:hint="default" w:ascii="Times New Roman" w:hAnsi="Times New Roman" w:eastAsia="宋体" w:cs="Times New Roman"/>
                <w:color w:val="000000"/>
                <w:sz w:val="24"/>
                <w:szCs w:val="24"/>
                <w:highlight w:val="none"/>
                <w:lang w:bidi="ar"/>
              </w:rPr>
              <w:t>的服务范围内。</w:t>
            </w:r>
            <w:r>
              <w:rPr>
                <w:rFonts w:hint="default" w:ascii="Times New Roman" w:hAnsi="Times New Roman" w:eastAsia="宋体" w:cs="Times New Roman"/>
                <w:color w:val="000000"/>
                <w:sz w:val="24"/>
                <w:szCs w:val="24"/>
                <w:highlight w:val="none"/>
                <w:lang w:eastAsia="zh-CN" w:bidi="ar"/>
              </w:rPr>
              <w:t>本项目</w:t>
            </w:r>
            <w:r>
              <w:rPr>
                <w:rFonts w:hint="default" w:ascii="Times New Roman" w:hAnsi="Times New Roman" w:eastAsia="宋体" w:cs="Times New Roman"/>
                <w:color w:val="000000"/>
                <w:sz w:val="24"/>
                <w:szCs w:val="24"/>
                <w:highlight w:val="none"/>
                <w:lang w:bidi="ar"/>
              </w:rPr>
              <w:t>污水处理设施排水管道已与市政污水管网对接，</w:t>
            </w:r>
            <w:r>
              <w:rPr>
                <w:rFonts w:hint="eastAsia" w:ascii="Times New Roman" w:hAnsi="Times New Roman" w:eastAsia="宋体" w:cs="Times New Roman"/>
                <w:color w:val="000000"/>
                <w:sz w:val="24"/>
                <w:szCs w:val="24"/>
                <w:highlight w:val="none"/>
                <w:lang w:eastAsia="zh-CN" w:bidi="ar"/>
              </w:rPr>
              <w:t>生产废水、生活污水</w:t>
            </w:r>
            <w:r>
              <w:rPr>
                <w:rFonts w:hint="eastAsia" w:cs="Times New Roman"/>
                <w:color w:val="000000"/>
                <w:sz w:val="24"/>
                <w:szCs w:val="24"/>
                <w:highlight w:val="none"/>
                <w:lang w:eastAsia="zh-CN" w:bidi="ar"/>
              </w:rPr>
              <w:t>预处理达标后汇入紫安路市政污水井</w:t>
            </w:r>
            <w:r>
              <w:rPr>
                <w:rFonts w:hint="eastAsia" w:cs="Times New Roman"/>
                <w:b w:val="0"/>
                <w:bCs w:val="0"/>
                <w:color w:val="000000"/>
                <w:sz w:val="24"/>
                <w:szCs w:val="24"/>
                <w:highlight w:val="none"/>
                <w:lang w:eastAsia="zh-CN" w:bidi="ar"/>
              </w:rPr>
              <w:t>（</w:t>
            </w:r>
            <w:r>
              <w:rPr>
                <w:rFonts w:hint="eastAsia" w:cs="Times New Roman"/>
                <w:b w:val="0"/>
                <w:bCs w:val="0"/>
                <w:color w:val="000000"/>
                <w:sz w:val="24"/>
                <w:szCs w:val="24"/>
                <w:highlight w:val="none"/>
                <w:lang w:val="en-US" w:eastAsia="zh-CN" w:bidi="ar"/>
              </w:rPr>
              <w:t>E</w:t>
            </w:r>
            <w:r>
              <w:rPr>
                <w:rFonts w:hint="default" w:ascii="Times New Roman" w:hAnsi="Times New Roman" w:cs="Times New Roman"/>
                <w:b w:val="0"/>
                <w:bCs w:val="0"/>
                <w:color w:val="auto"/>
                <w:sz w:val="24"/>
                <w:szCs w:val="24"/>
                <w:highlight w:val="none"/>
                <w:vertAlign w:val="baseline"/>
                <w:lang w:val="en-US" w:eastAsia="zh-CN"/>
              </w:rPr>
              <w:t>118°30′57.25″</w:t>
            </w:r>
            <w:r>
              <w:rPr>
                <w:rFonts w:hint="eastAsia" w:cs="Times New Roman"/>
                <w:b w:val="0"/>
                <w:bCs w:val="0"/>
                <w:color w:val="auto"/>
                <w:sz w:val="24"/>
                <w:szCs w:val="24"/>
                <w:highlight w:val="none"/>
                <w:vertAlign w:val="baseline"/>
                <w:lang w:val="en-US" w:eastAsia="zh-CN"/>
              </w:rPr>
              <w:t>，N</w:t>
            </w:r>
            <w:r>
              <w:rPr>
                <w:rFonts w:hint="default" w:ascii="Times New Roman" w:hAnsi="Times New Roman" w:cs="Times New Roman"/>
                <w:b w:val="0"/>
                <w:bCs w:val="0"/>
                <w:color w:val="auto"/>
                <w:sz w:val="24"/>
                <w:szCs w:val="24"/>
                <w:highlight w:val="none"/>
                <w:vertAlign w:val="baseline"/>
                <w:lang w:val="en-US" w:eastAsia="zh-CN"/>
              </w:rPr>
              <w:t>24°54′28.91″</w:t>
            </w:r>
            <w:r>
              <w:rPr>
                <w:rFonts w:hint="eastAsia" w:ascii="Times New Roman" w:hAnsi="Times New Roman" w:cs="Times New Roman"/>
                <w:b w:val="0"/>
                <w:bCs w:val="0"/>
                <w:color w:val="auto"/>
                <w:sz w:val="24"/>
                <w:szCs w:val="24"/>
                <w:highlight w:val="none"/>
                <w:vertAlign w:val="baseline"/>
                <w:lang w:val="en-US" w:eastAsia="zh-CN"/>
              </w:rPr>
              <w:t>）</w:t>
            </w:r>
            <w:r>
              <w:rPr>
                <w:rFonts w:hint="eastAsia" w:cs="Times New Roman"/>
                <w:color w:val="000000"/>
                <w:sz w:val="24"/>
                <w:szCs w:val="24"/>
                <w:highlight w:val="none"/>
                <w:lang w:eastAsia="zh-CN" w:bidi="ar"/>
              </w:rPr>
              <w:t>汇入紫盛街污水管网，最终</w:t>
            </w:r>
            <w:r>
              <w:rPr>
                <w:rFonts w:hint="eastAsia" w:ascii="Times New Roman" w:hAnsi="Times New Roman" w:eastAsia="宋体" w:cs="Times New Roman"/>
                <w:color w:val="000000"/>
                <w:sz w:val="24"/>
                <w:szCs w:val="24"/>
                <w:highlight w:val="none"/>
                <w:lang w:eastAsia="zh-CN" w:bidi="ar"/>
              </w:rPr>
              <w:t>排入晋江仙石污水处理厂</w:t>
            </w:r>
            <w:r>
              <w:rPr>
                <w:rFonts w:hint="default" w:ascii="Times New Roman" w:hAnsi="Times New Roman" w:eastAsia="宋体" w:cs="Times New Roman"/>
                <w:color w:val="000000"/>
                <w:sz w:val="24"/>
                <w:szCs w:val="24"/>
                <w:highlight w:val="none"/>
                <w:lang w:bidi="ar"/>
              </w:rPr>
              <w:t>处理。</w:t>
            </w:r>
          </w:p>
          <w:p w14:paraId="259D3644">
            <w:pPr>
              <w:pStyle w:val="13"/>
              <w:spacing w:line="360" w:lineRule="auto"/>
              <w:ind w:left="0" w:right="0"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（2）水量分析</w:t>
            </w:r>
          </w:p>
          <w:p w14:paraId="461E7E4B">
            <w:pPr>
              <w:spacing w:line="360" w:lineRule="auto"/>
              <w:ind w:firstLine="480" w:firstLineChars="200"/>
              <w:jc w:val="both"/>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晋江市仙石污水处理厂总处理能力达到15万吨/日，实际处理能力为140750吨/日，则尚有9240 吨/日处理余量。项目生活污水量为</w:t>
            </w:r>
            <w:r>
              <w:rPr>
                <w:rFonts w:hint="eastAsia" w:cs="Times New Roman"/>
                <w:color w:val="000000"/>
                <w:sz w:val="24"/>
                <w:szCs w:val="24"/>
                <w:highlight w:val="none"/>
                <w:lang w:val="en-US" w:eastAsia="zh-CN"/>
              </w:rPr>
              <w:t>7.2</w:t>
            </w:r>
            <w:r>
              <w:rPr>
                <w:rFonts w:hint="eastAsia" w:ascii="Times New Roman" w:hAnsi="Times New Roman" w:eastAsia="宋体" w:cs="Times New Roman"/>
                <w:color w:val="000000"/>
                <w:sz w:val="24"/>
                <w:szCs w:val="24"/>
                <w:highlight w:val="none"/>
                <w:lang w:eastAsia="zh-CN"/>
              </w:rPr>
              <w:t>t</w:t>
            </w:r>
            <w:r>
              <w:rPr>
                <w:rFonts w:hint="eastAsia"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eastAsia="zh-CN"/>
              </w:rPr>
              <w:t>d，生产废水量为</w:t>
            </w:r>
            <w:r>
              <w:rPr>
                <w:rFonts w:hint="eastAsia" w:cs="Times New Roman"/>
                <w:color w:val="000000"/>
                <w:sz w:val="24"/>
                <w:szCs w:val="24"/>
                <w:highlight w:val="none"/>
                <w:lang w:val="en-US" w:eastAsia="zh-CN"/>
              </w:rPr>
              <w:t>2.7</w:t>
            </w:r>
            <w:r>
              <w:rPr>
                <w:rFonts w:hint="eastAsia" w:ascii="Times New Roman" w:hAnsi="Times New Roman" w:eastAsia="宋体" w:cs="Times New Roman"/>
                <w:color w:val="000000"/>
                <w:sz w:val="24"/>
                <w:szCs w:val="24"/>
                <w:highlight w:val="none"/>
                <w:lang w:eastAsia="zh-CN"/>
              </w:rPr>
              <w:t>t</w:t>
            </w:r>
            <w:r>
              <w:rPr>
                <w:rFonts w:hint="eastAsia"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eastAsia="zh-CN"/>
              </w:rPr>
              <w:t>d，废水总排放量</w:t>
            </w:r>
            <w:r>
              <w:rPr>
                <w:rFonts w:hint="eastAsia" w:cs="Times New Roman"/>
                <w:color w:val="000000"/>
                <w:sz w:val="24"/>
                <w:szCs w:val="24"/>
                <w:highlight w:val="none"/>
                <w:lang w:val="en-US" w:eastAsia="zh-CN"/>
              </w:rPr>
              <w:t>9.9</w:t>
            </w:r>
            <w:r>
              <w:rPr>
                <w:rFonts w:hint="eastAsia" w:ascii="Times New Roman" w:hAnsi="Times New Roman" w:eastAsia="宋体" w:cs="Times New Roman"/>
                <w:color w:val="000000"/>
                <w:sz w:val="24"/>
                <w:szCs w:val="24"/>
                <w:highlight w:val="none"/>
                <w:lang w:val="en-US" w:eastAsia="zh-CN"/>
              </w:rPr>
              <w:t>t/d</w:t>
            </w:r>
            <w:r>
              <w:rPr>
                <w:rFonts w:hint="eastAsia" w:ascii="Times New Roman" w:hAnsi="Times New Roman" w:eastAsia="宋体" w:cs="Times New Roman"/>
                <w:color w:val="000000"/>
                <w:sz w:val="24"/>
                <w:szCs w:val="24"/>
                <w:highlight w:val="none"/>
                <w:lang w:eastAsia="zh-CN"/>
              </w:rPr>
              <w:t xml:space="preserve"> 仅占晋江仙石污水处理厂剩余处理能力的</w:t>
            </w:r>
            <w:r>
              <w:rPr>
                <w:rFonts w:hint="eastAsia" w:cs="Times New Roman"/>
                <w:color w:val="000000"/>
                <w:sz w:val="24"/>
                <w:szCs w:val="24"/>
                <w:highlight w:val="none"/>
                <w:lang w:val="en-US" w:eastAsia="zh-CN"/>
              </w:rPr>
              <w:t>0.11</w:t>
            </w:r>
            <w:r>
              <w:rPr>
                <w:rFonts w:hint="eastAsia" w:ascii="Times New Roman" w:hAnsi="Times New Roman" w:eastAsia="宋体" w:cs="Times New Roman"/>
                <w:color w:val="000000"/>
                <w:sz w:val="24"/>
                <w:szCs w:val="24"/>
                <w:highlight w:val="none"/>
                <w:lang w:eastAsia="zh-CN"/>
              </w:rPr>
              <w:t>%。项目废水在晋江市仙石污水处理厂设计接纳的范围内，不会造成明显的负荷冲击。晋江市仙石污水处理厂完全具有接纳本项目污水的能力，且项目污水经处理后可满足晋江市仙石污水处理厂的入网要求，对污水处理厂的正常运营不会造成影响。</w:t>
            </w:r>
          </w:p>
          <w:p w14:paraId="6255EB2F">
            <w:pPr>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（3）水质分析</w:t>
            </w:r>
          </w:p>
          <w:p w14:paraId="1F444973">
            <w:pPr>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eastAsia="zh-CN"/>
              </w:rPr>
              <w:t>本项目</w:t>
            </w:r>
            <w:r>
              <w:rPr>
                <w:rFonts w:hint="eastAsia" w:ascii="Times New Roman" w:hAnsi="Times New Roman" w:eastAsia="宋体" w:cs="Times New Roman"/>
                <w:color w:val="000000"/>
                <w:sz w:val="24"/>
                <w:szCs w:val="24"/>
                <w:highlight w:val="none"/>
                <w:lang w:eastAsia="zh-CN"/>
              </w:rPr>
              <w:t>排放污水主要为生活污水</w:t>
            </w:r>
            <w:r>
              <w:rPr>
                <w:rFonts w:hint="eastAsia" w:cs="Times New Roman"/>
                <w:color w:val="000000"/>
                <w:sz w:val="24"/>
                <w:szCs w:val="24"/>
                <w:highlight w:val="none"/>
                <w:lang w:eastAsia="zh-CN"/>
              </w:rPr>
              <w:t>和生产废水，</w:t>
            </w:r>
            <w:r>
              <w:rPr>
                <w:rFonts w:hint="eastAsia" w:ascii="Times New Roman" w:hAnsi="Times New Roman" w:eastAsia="宋体" w:cs="Times New Roman"/>
                <w:color w:val="000000"/>
                <w:sz w:val="24"/>
                <w:szCs w:val="24"/>
                <w:highlight w:val="none"/>
                <w:lang w:eastAsia="zh-CN"/>
              </w:rPr>
              <w:t>经预</w:t>
            </w:r>
            <w:r>
              <w:rPr>
                <w:rFonts w:hint="eastAsia" w:cs="Times New Roman"/>
                <w:color w:val="000000"/>
                <w:sz w:val="24"/>
                <w:szCs w:val="24"/>
                <w:highlight w:val="none"/>
                <w:lang w:eastAsia="zh-CN"/>
              </w:rPr>
              <w:t>处理</w:t>
            </w:r>
            <w:r>
              <w:rPr>
                <w:rFonts w:hint="eastAsia" w:ascii="Times New Roman" w:hAnsi="Times New Roman" w:eastAsia="宋体" w:cs="Times New Roman"/>
                <w:color w:val="000000"/>
                <w:sz w:val="24"/>
                <w:szCs w:val="24"/>
                <w:highlight w:val="none"/>
                <w:lang w:eastAsia="zh-CN"/>
              </w:rPr>
              <w:t>后排放</w:t>
            </w:r>
            <w:r>
              <w:rPr>
                <w:rFonts w:hint="default" w:ascii="Times New Roman" w:hAnsi="Times New Roman" w:eastAsia="宋体" w:cs="Times New Roman"/>
                <w:color w:val="000000"/>
                <w:sz w:val="24"/>
                <w:szCs w:val="24"/>
                <w:highlight w:val="none"/>
              </w:rPr>
              <w:t>指标符合</w:t>
            </w:r>
            <w:r>
              <w:rPr>
                <w:rFonts w:hint="eastAsia" w:ascii="Times New Roman" w:hAnsi="Times New Roman" w:eastAsia="宋体" w:cs="Times New Roman"/>
                <w:color w:val="000000"/>
                <w:sz w:val="24"/>
                <w:szCs w:val="24"/>
                <w:highlight w:val="none"/>
                <w:lang w:eastAsia="zh-CN"/>
              </w:rPr>
              <w:t>晋江仙石污水处理厂</w:t>
            </w:r>
            <w:r>
              <w:rPr>
                <w:rFonts w:hint="default" w:ascii="Times New Roman" w:hAnsi="Times New Roman" w:eastAsia="宋体" w:cs="Times New Roman"/>
                <w:color w:val="000000"/>
                <w:sz w:val="24"/>
                <w:szCs w:val="24"/>
                <w:highlight w:val="none"/>
              </w:rPr>
              <w:t>设计进水水质要求，可纳入市政污水管网，不会对该污水处理厂的运行造成影响。</w:t>
            </w:r>
          </w:p>
          <w:p w14:paraId="4B4E1EF4">
            <w:pPr>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（4）可行性结论分析</w:t>
            </w:r>
          </w:p>
          <w:p w14:paraId="3BF633AB">
            <w:pPr>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综上所述，</w:t>
            </w:r>
            <w:r>
              <w:rPr>
                <w:rFonts w:hint="default" w:ascii="Times New Roman" w:hAnsi="Times New Roman" w:eastAsia="宋体" w:cs="Times New Roman"/>
                <w:color w:val="000000"/>
                <w:sz w:val="24"/>
                <w:szCs w:val="24"/>
                <w:highlight w:val="none"/>
                <w:lang w:eastAsia="zh-CN"/>
              </w:rPr>
              <w:t>本项目</w:t>
            </w:r>
            <w:r>
              <w:rPr>
                <w:rFonts w:hint="eastAsia" w:ascii="Times New Roman" w:hAnsi="Times New Roman" w:eastAsia="宋体" w:cs="Times New Roman"/>
                <w:color w:val="000000"/>
                <w:sz w:val="24"/>
                <w:szCs w:val="24"/>
                <w:highlight w:val="none"/>
                <w:lang w:eastAsia="zh-CN"/>
              </w:rPr>
              <w:t>生活污水</w:t>
            </w:r>
            <w:r>
              <w:rPr>
                <w:rFonts w:hint="eastAsia" w:cs="Times New Roman"/>
                <w:color w:val="000000"/>
                <w:sz w:val="24"/>
                <w:szCs w:val="24"/>
                <w:highlight w:val="none"/>
                <w:lang w:eastAsia="zh-CN"/>
              </w:rPr>
              <w:t>和生产废水</w:t>
            </w:r>
            <w:r>
              <w:rPr>
                <w:rFonts w:hint="eastAsia" w:ascii="Times New Roman" w:hAnsi="Times New Roman" w:eastAsia="宋体" w:cs="Times New Roman"/>
                <w:color w:val="000000"/>
                <w:sz w:val="24"/>
                <w:szCs w:val="24"/>
                <w:highlight w:val="none"/>
                <w:lang w:val="en-US" w:eastAsia="zh-CN"/>
              </w:rPr>
              <w:t>经预处理后</w:t>
            </w:r>
            <w:r>
              <w:rPr>
                <w:rFonts w:hint="eastAsia" w:ascii="Times New Roman" w:hAnsi="Times New Roman" w:eastAsia="宋体" w:cs="Times New Roman"/>
                <w:color w:val="000000"/>
                <w:sz w:val="24"/>
                <w:szCs w:val="24"/>
                <w:highlight w:val="none"/>
                <w:lang w:eastAsia="zh-CN"/>
              </w:rPr>
              <w:t>排入晋江仙石污水处理厂</w:t>
            </w:r>
            <w:r>
              <w:rPr>
                <w:rFonts w:hint="default" w:ascii="Times New Roman" w:hAnsi="Times New Roman" w:eastAsia="宋体" w:cs="Times New Roman"/>
                <w:color w:val="000000"/>
                <w:sz w:val="24"/>
                <w:szCs w:val="24"/>
                <w:highlight w:val="none"/>
              </w:rPr>
              <w:t>统一处理，排水去向符合市政规划，</w:t>
            </w:r>
            <w:r>
              <w:rPr>
                <w:rFonts w:hint="eastAsia" w:ascii="Times New Roman" w:hAnsi="Times New Roman" w:eastAsia="宋体" w:cs="Times New Roman"/>
                <w:color w:val="000000"/>
                <w:sz w:val="24"/>
                <w:szCs w:val="24"/>
                <w:highlight w:val="none"/>
                <w:lang w:eastAsia="zh-CN"/>
              </w:rPr>
              <w:t>生活污水</w:t>
            </w:r>
            <w:r>
              <w:rPr>
                <w:rFonts w:hint="default" w:ascii="Times New Roman" w:hAnsi="Times New Roman" w:eastAsia="宋体" w:cs="Times New Roman"/>
                <w:color w:val="000000"/>
                <w:sz w:val="24"/>
                <w:szCs w:val="24"/>
                <w:highlight w:val="none"/>
              </w:rPr>
              <w:t>排放符合污水处理厂入网要求。</w:t>
            </w:r>
            <w:r>
              <w:rPr>
                <w:rFonts w:hint="default" w:ascii="Times New Roman" w:hAnsi="Times New Roman" w:eastAsia="宋体" w:cs="Times New Roman"/>
                <w:color w:val="000000"/>
                <w:sz w:val="24"/>
                <w:szCs w:val="24"/>
                <w:highlight w:val="none"/>
                <w:lang w:eastAsia="zh-CN"/>
              </w:rPr>
              <w:t>本项目</w:t>
            </w:r>
            <w:r>
              <w:rPr>
                <w:rFonts w:hint="default" w:ascii="Times New Roman" w:hAnsi="Times New Roman" w:eastAsia="宋体" w:cs="Times New Roman"/>
                <w:color w:val="000000"/>
                <w:sz w:val="24"/>
                <w:szCs w:val="24"/>
                <w:highlight w:val="none"/>
              </w:rPr>
              <w:t>废水可纳入</w:t>
            </w:r>
            <w:r>
              <w:rPr>
                <w:rFonts w:hint="eastAsia" w:ascii="Times New Roman" w:hAnsi="Times New Roman" w:eastAsia="宋体" w:cs="Times New Roman"/>
                <w:color w:val="000000"/>
                <w:sz w:val="24"/>
                <w:szCs w:val="24"/>
                <w:highlight w:val="none"/>
                <w:lang w:eastAsia="zh-CN"/>
              </w:rPr>
              <w:t>晋江仙石污水处理厂</w:t>
            </w:r>
            <w:r>
              <w:rPr>
                <w:rFonts w:hint="default" w:ascii="Times New Roman" w:hAnsi="Times New Roman" w:eastAsia="宋体" w:cs="Times New Roman"/>
                <w:color w:val="000000"/>
                <w:sz w:val="24"/>
                <w:szCs w:val="24"/>
                <w:highlight w:val="none"/>
              </w:rPr>
              <w:t>统一处理。</w:t>
            </w:r>
          </w:p>
          <w:p w14:paraId="76CBC95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2.3</w:t>
            </w:r>
            <w:r>
              <w:rPr>
                <w:rFonts w:hint="default" w:ascii="Times New Roman" w:hAnsi="Times New Roman" w:eastAsia="宋体" w:cs="Times New Roman"/>
                <w:b/>
                <w:bCs/>
                <w:color w:val="auto"/>
                <w:sz w:val="24"/>
                <w:szCs w:val="24"/>
                <w:highlight w:val="none"/>
                <w:lang w:eastAsia="zh-CN"/>
              </w:rPr>
              <w:t>废水监测要求</w:t>
            </w:r>
          </w:p>
          <w:p w14:paraId="2393D10E">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b w:val="0"/>
                <w:bCs w:val="0"/>
                <w:color w:val="000000"/>
                <w:sz w:val="24"/>
                <w:szCs w:val="24"/>
                <w:highlight w:val="none"/>
                <w:lang w:eastAsia="zh-CN"/>
              </w:rPr>
            </w:pPr>
            <w:r>
              <w:rPr>
                <w:rFonts w:hint="default" w:ascii="Times New Roman" w:hAnsi="Times New Roman" w:eastAsia="宋体" w:cs="Times New Roman"/>
                <w:b w:val="0"/>
                <w:bCs w:val="0"/>
                <w:color w:val="000000"/>
                <w:sz w:val="24"/>
                <w:szCs w:val="24"/>
                <w:highlight w:val="none"/>
              </w:rPr>
              <w:t>本项目属于</w:t>
            </w:r>
            <w:r>
              <w:rPr>
                <w:rFonts w:hint="eastAsia" w:ascii="Times New Roman" w:hAnsi="Times New Roman" w:eastAsia="宋体" w:cs="Times New Roman"/>
                <w:b w:val="0"/>
                <w:bCs w:val="0"/>
                <w:color w:val="000000"/>
                <w:sz w:val="24"/>
                <w:szCs w:val="24"/>
                <w:highlight w:val="none"/>
                <w:lang w:eastAsia="zh-CN"/>
              </w:rPr>
              <w:t>布料的</w:t>
            </w:r>
            <w:r>
              <w:rPr>
                <w:rFonts w:hint="default" w:ascii="Times New Roman" w:hAnsi="Times New Roman" w:eastAsia="宋体" w:cs="Times New Roman"/>
                <w:b w:val="0"/>
                <w:bCs w:val="0"/>
                <w:color w:val="000000"/>
                <w:sz w:val="24"/>
                <w:szCs w:val="24"/>
                <w:highlight w:val="none"/>
              </w:rPr>
              <w:t>丝印加工项目，属于</w:t>
            </w:r>
            <w:r>
              <w:rPr>
                <w:rFonts w:hint="eastAsia"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固定污染源排污许可分类管理名录</w:t>
            </w:r>
            <w:r>
              <w:rPr>
                <w:rFonts w:hint="eastAsia"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2019年版</w:t>
            </w:r>
            <w:r>
              <w:rPr>
                <w:rFonts w:hint="eastAsia"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中</w:t>
            </w:r>
            <w:r>
              <w:rPr>
                <w:rFonts w:hint="eastAsia"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十八、印刷和记录媒介复制业23</w:t>
            </w:r>
            <w:r>
              <w:rPr>
                <w:rFonts w:hint="eastAsia"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印刷231</w:t>
            </w:r>
            <w:r>
              <w:rPr>
                <w:rFonts w:hint="eastAsia"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其他</w:t>
            </w:r>
            <w:r>
              <w:rPr>
                <w:rFonts w:hint="eastAsia"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，管理类别为登记管理类。本项目的监测频次参考HJ1066-2019《排污许可证申请与核发技术规范印刷工业》，结合本项目自身特点，项目废水监测点位、监测因子、监测颊次等要求见下表</w:t>
            </w:r>
            <w:r>
              <w:rPr>
                <w:rFonts w:hint="eastAsia" w:ascii="Times New Roman" w:hAnsi="Times New Roman" w:eastAsia="宋体" w:cs="Times New Roman"/>
                <w:b w:val="0"/>
                <w:bCs w:val="0"/>
                <w:color w:val="000000"/>
                <w:sz w:val="24"/>
                <w:szCs w:val="24"/>
                <w:highlight w:val="none"/>
                <w:lang w:eastAsia="zh-CN"/>
              </w:rPr>
              <w:t>。</w:t>
            </w:r>
          </w:p>
          <w:p w14:paraId="072B0AA6">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18</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eastAsia="zh-CN"/>
              </w:rPr>
              <w:t>废水</w:t>
            </w:r>
            <w:r>
              <w:rPr>
                <w:rFonts w:hint="default" w:ascii="Times New Roman" w:hAnsi="Times New Roman" w:eastAsia="宋体" w:cs="Times New Roman"/>
                <w:b/>
                <w:color w:val="auto"/>
                <w:sz w:val="24"/>
                <w:szCs w:val="24"/>
                <w:highlight w:val="none"/>
              </w:rPr>
              <w:t>监测</w:t>
            </w:r>
            <w:r>
              <w:rPr>
                <w:rFonts w:hint="default" w:ascii="Times New Roman" w:hAnsi="Times New Roman" w:eastAsia="宋体" w:cs="Times New Roman"/>
                <w:b/>
                <w:color w:val="auto"/>
                <w:sz w:val="24"/>
                <w:szCs w:val="24"/>
                <w:highlight w:val="none"/>
                <w:lang w:eastAsia="zh-CN"/>
              </w:rPr>
              <w:t>要求内容</w:t>
            </w:r>
            <w:r>
              <w:rPr>
                <w:rFonts w:hint="default" w:ascii="Times New Roman" w:hAnsi="Times New Roman" w:eastAsia="宋体" w:cs="Times New Roman"/>
                <w:b/>
                <w:color w:val="auto"/>
                <w:sz w:val="24"/>
                <w:szCs w:val="24"/>
                <w:highlight w:val="none"/>
              </w:rPr>
              <w:t>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108" w:type="dxa"/>
                <w:bottom w:w="0" w:type="dxa"/>
                <w:right w:w="108" w:type="dxa"/>
              </w:tblCellMar>
            </w:tblPr>
            <w:tblGrid>
              <w:gridCol w:w="1157"/>
              <w:gridCol w:w="1916"/>
              <w:gridCol w:w="1291"/>
              <w:gridCol w:w="1186"/>
              <w:gridCol w:w="2272"/>
            </w:tblGrid>
            <w:tr w14:paraId="1A2EED4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39" w:type="pct"/>
                  <w:noWrap w:val="0"/>
                  <w:vAlign w:val="center"/>
                </w:tcPr>
                <w:p w14:paraId="7448D977">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1224" w:type="pct"/>
                  <w:noWrap w:val="0"/>
                  <w:vAlign w:val="center"/>
                </w:tcPr>
                <w:p w14:paraId="5ED38A80">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监测内容</w:t>
                  </w:r>
                </w:p>
              </w:tc>
              <w:tc>
                <w:tcPr>
                  <w:tcW w:w="825" w:type="pct"/>
                  <w:noWrap w:val="0"/>
                  <w:vAlign w:val="center"/>
                </w:tcPr>
                <w:p w14:paraId="07C13B9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758" w:type="pct"/>
                  <w:noWrap w:val="0"/>
                  <w:vAlign w:val="center"/>
                </w:tcPr>
                <w:p w14:paraId="341ED2DA">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w:t>
                  </w:r>
                </w:p>
              </w:tc>
              <w:tc>
                <w:tcPr>
                  <w:tcW w:w="1452" w:type="pct"/>
                  <w:noWrap w:val="0"/>
                  <w:vAlign w:val="center"/>
                </w:tcPr>
                <w:p w14:paraId="43A0152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执行标准</w:t>
                  </w:r>
                </w:p>
              </w:tc>
            </w:tr>
            <w:tr w14:paraId="5C0D0240">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39" w:type="pct"/>
                  <w:noWrap w:val="0"/>
                  <w:vAlign w:val="center"/>
                </w:tcPr>
                <w:p w14:paraId="5BF51769">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eastAsia="zh-CN"/>
                    </w:rPr>
                    <w:t>综合</w:t>
                  </w:r>
                  <w:r>
                    <w:rPr>
                      <w:rFonts w:hint="default" w:ascii="Times New Roman" w:hAnsi="Times New Roman" w:eastAsia="宋体" w:cs="Times New Roman"/>
                      <w:color w:val="auto"/>
                      <w:sz w:val="21"/>
                      <w:szCs w:val="21"/>
                      <w:highlight w:val="none"/>
                    </w:rPr>
                    <w:t>废水</w:t>
                  </w:r>
                </w:p>
              </w:tc>
              <w:tc>
                <w:tcPr>
                  <w:tcW w:w="1224" w:type="pct"/>
                  <w:noWrap w:val="0"/>
                  <w:vAlign w:val="center"/>
                </w:tcPr>
                <w:p w14:paraId="1521289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w:t>
                  </w:r>
                  <w:r>
                    <w:rPr>
                      <w:rFonts w:hint="eastAsia" w:ascii="Times New Roman" w:hAnsi="Times New Roman" w:eastAsia="宋体" w:cs="Times New Roman"/>
                      <w:color w:val="auto"/>
                      <w:sz w:val="21"/>
                      <w:szCs w:val="21"/>
                      <w:highlight w:val="none"/>
                      <w:lang w:eastAsia="zh-CN"/>
                    </w:rPr>
                    <w:t>氨氮、色度</w:t>
                  </w:r>
                </w:p>
              </w:tc>
              <w:tc>
                <w:tcPr>
                  <w:tcW w:w="825" w:type="pct"/>
                  <w:noWrap w:val="0"/>
                  <w:vAlign w:val="center"/>
                </w:tcPr>
                <w:p w14:paraId="7F158CFC">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1次/</w:t>
                  </w:r>
                  <w:r>
                    <w:rPr>
                      <w:rFonts w:hint="eastAsia" w:ascii="Times New Roman" w:hAnsi="Times New Roman" w:eastAsia="宋体" w:cs="Times New Roman"/>
                      <w:color w:val="auto"/>
                      <w:sz w:val="21"/>
                      <w:szCs w:val="21"/>
                      <w:highlight w:val="none"/>
                      <w:lang w:val="en-US" w:eastAsia="zh-CN"/>
                    </w:rPr>
                    <w:t>年</w:t>
                  </w:r>
                </w:p>
              </w:tc>
              <w:tc>
                <w:tcPr>
                  <w:tcW w:w="758" w:type="pct"/>
                  <w:noWrap w:val="0"/>
                  <w:vAlign w:val="center"/>
                </w:tcPr>
                <w:p w14:paraId="3673ED04">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eastAsia="宋体" w:cs="Times New Roman"/>
                      <w:color w:val="auto"/>
                      <w:sz w:val="21"/>
                      <w:szCs w:val="21"/>
                      <w:highlight w:val="none"/>
                      <w:lang w:val="en-US" w:eastAsia="zh-CN"/>
                    </w:rPr>
                    <w:t>综合废水排放口</w:t>
                  </w:r>
                </w:p>
              </w:tc>
              <w:tc>
                <w:tcPr>
                  <w:tcW w:w="1452" w:type="pct"/>
                  <w:noWrap w:val="0"/>
                  <w:vAlign w:val="center"/>
                </w:tcPr>
                <w:p w14:paraId="58A354A6">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GB8978-1996《污水综合排放标准》表4三级标准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其中氨氮参照GBT31962-2015《污水排入城市下水道水质标准》B等级标准</w:t>
                  </w:r>
                </w:p>
              </w:tc>
            </w:tr>
          </w:tbl>
          <w:p w14:paraId="30B24201">
            <w:pPr>
              <w:pStyle w:val="56"/>
              <w:keepNext w:val="0"/>
              <w:keepLines w:val="0"/>
              <w:pageBreakBefore w:val="0"/>
              <w:widowControl w:val="0"/>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4.3噪声</w:t>
            </w:r>
          </w:p>
          <w:p w14:paraId="3CC8E3F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3.1噪声</w:t>
            </w:r>
            <w:r>
              <w:rPr>
                <w:rFonts w:hint="default" w:ascii="Times New Roman" w:hAnsi="Times New Roman" w:eastAsia="宋体" w:cs="Times New Roman"/>
                <w:b/>
                <w:bCs/>
                <w:color w:val="auto"/>
                <w:sz w:val="24"/>
                <w:szCs w:val="24"/>
                <w:highlight w:val="none"/>
                <w:lang w:eastAsia="zh-CN"/>
              </w:rPr>
              <w:t>源强分析</w:t>
            </w:r>
          </w:p>
          <w:p w14:paraId="5AF2D064">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项目主要噪声污染源为各类机械设备的运转噪声。根据类比分析，车间主要生产设备正常工作时的噪声源强约为</w:t>
            </w:r>
            <w:r>
              <w:rPr>
                <w:rFonts w:hint="eastAsia" w:ascii="Times New Roman" w:hAnsi="Times New Roman" w:eastAsia="宋体" w:cs="Times New Roman"/>
                <w:color w:val="auto"/>
                <w:sz w:val="24"/>
                <w:szCs w:val="24"/>
                <w:highlight w:val="none"/>
                <w:lang w:val="en-US" w:eastAsia="zh-CN"/>
              </w:rPr>
              <w:t>70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rPr>
              <w:t>dB（A）。</w:t>
            </w:r>
          </w:p>
          <w:p w14:paraId="2800CD36">
            <w:pPr>
              <w:spacing w:before="0" w:beforeLines="0" w:line="240" w:lineRule="auto"/>
              <w:ind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4-</w:t>
            </w:r>
            <w:r>
              <w:rPr>
                <w:rFonts w:hint="eastAsia" w:cs="Times New Roman"/>
                <w:b/>
                <w:bCs/>
                <w:color w:val="auto"/>
                <w:sz w:val="24"/>
                <w:highlight w:val="none"/>
                <w:lang w:val="en-US" w:eastAsia="zh-CN"/>
              </w:rPr>
              <w:t xml:space="preserve">19 </w:t>
            </w:r>
            <w:r>
              <w:rPr>
                <w:rFonts w:hint="default" w:ascii="Times New Roman" w:hAnsi="Times New Roman" w:eastAsia="宋体" w:cs="Times New Roman"/>
                <w:b/>
                <w:bCs/>
                <w:color w:val="auto"/>
                <w:sz w:val="24"/>
                <w:highlight w:val="none"/>
              </w:rPr>
              <w:t>噪声污染源源强核算结果及相关参数一览表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3"/>
              <w:gridCol w:w="2039"/>
              <w:gridCol w:w="1343"/>
              <w:gridCol w:w="1332"/>
              <w:gridCol w:w="1365"/>
              <w:gridCol w:w="800"/>
            </w:tblGrid>
            <w:tr w14:paraId="28214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pct"/>
                  <w:vMerge w:val="restart"/>
                  <w:noWrap w:val="0"/>
                  <w:vAlign w:val="center"/>
                </w:tcPr>
                <w:p w14:paraId="5B4FEDFD">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生产线</w:t>
                  </w:r>
                </w:p>
              </w:tc>
              <w:tc>
                <w:tcPr>
                  <w:tcW w:w="1303" w:type="pct"/>
                  <w:vMerge w:val="restart"/>
                  <w:noWrap w:val="0"/>
                  <w:vAlign w:val="center"/>
                </w:tcPr>
                <w:p w14:paraId="4B86CBC8">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噪声源</w:t>
                  </w:r>
                </w:p>
              </w:tc>
              <w:tc>
                <w:tcPr>
                  <w:tcW w:w="858" w:type="pct"/>
                  <w:vMerge w:val="restart"/>
                  <w:noWrap w:val="0"/>
                  <w:vAlign w:val="center"/>
                </w:tcPr>
                <w:p w14:paraId="0369DC57">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声源类型</w:t>
                  </w:r>
                </w:p>
              </w:tc>
              <w:tc>
                <w:tcPr>
                  <w:tcW w:w="1723" w:type="pct"/>
                  <w:gridSpan w:val="2"/>
                  <w:noWrap w:val="0"/>
                  <w:vAlign w:val="center"/>
                </w:tcPr>
                <w:p w14:paraId="725798B8">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噪声源强dB（A）</w:t>
                  </w:r>
                </w:p>
              </w:tc>
              <w:tc>
                <w:tcPr>
                  <w:tcW w:w="511" w:type="pct"/>
                  <w:vMerge w:val="restart"/>
                  <w:noWrap w:val="0"/>
                  <w:vAlign w:val="center"/>
                </w:tcPr>
                <w:p w14:paraId="07AC4EAE">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持续</w:t>
                  </w:r>
                </w:p>
                <w:p w14:paraId="529459B6">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时间</w:t>
                  </w:r>
                </w:p>
              </w:tc>
            </w:tr>
            <w:tr w14:paraId="5BCEE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pct"/>
                  <w:vMerge w:val="continue"/>
                  <w:noWrap w:val="0"/>
                  <w:vAlign w:val="center"/>
                </w:tcPr>
                <w:p w14:paraId="51103B33">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1303" w:type="pct"/>
                  <w:vMerge w:val="continue"/>
                  <w:noWrap w:val="0"/>
                  <w:vAlign w:val="center"/>
                </w:tcPr>
                <w:p w14:paraId="330F994F">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858" w:type="pct"/>
                  <w:vMerge w:val="continue"/>
                  <w:noWrap w:val="0"/>
                  <w:vAlign w:val="center"/>
                </w:tcPr>
                <w:p w14:paraId="02E60741">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851" w:type="pct"/>
                  <w:noWrap w:val="0"/>
                  <w:vAlign w:val="center"/>
                </w:tcPr>
                <w:p w14:paraId="1D32640F">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核算方法</w:t>
                  </w:r>
                </w:p>
              </w:tc>
              <w:tc>
                <w:tcPr>
                  <w:tcW w:w="872" w:type="pct"/>
                  <w:noWrap w:val="0"/>
                  <w:vAlign w:val="center"/>
                </w:tcPr>
                <w:p w14:paraId="1010B800">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噪声值</w:t>
                  </w:r>
                </w:p>
              </w:tc>
              <w:tc>
                <w:tcPr>
                  <w:tcW w:w="511" w:type="pct"/>
                  <w:vMerge w:val="continue"/>
                  <w:noWrap w:val="0"/>
                  <w:vAlign w:val="center"/>
                </w:tcPr>
                <w:p w14:paraId="0B1170E8">
                  <w:pPr>
                    <w:pStyle w:val="10"/>
                    <w:spacing w:before="0" w:after="0" w:line="240" w:lineRule="auto"/>
                    <w:jc w:val="center"/>
                    <w:rPr>
                      <w:rFonts w:hint="default" w:ascii="Times New Roman" w:hAnsi="Times New Roman" w:eastAsia="宋体" w:cs="Times New Roman"/>
                      <w:color w:val="auto"/>
                      <w:sz w:val="21"/>
                      <w:szCs w:val="21"/>
                      <w:highlight w:val="none"/>
                    </w:rPr>
                  </w:pPr>
                </w:p>
              </w:tc>
            </w:tr>
            <w:tr w14:paraId="48C4B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pct"/>
                  <w:vMerge w:val="restart"/>
                  <w:noWrap w:val="0"/>
                  <w:vAlign w:val="center"/>
                </w:tcPr>
                <w:p w14:paraId="64840086">
                  <w:pPr>
                    <w:pStyle w:val="10"/>
                    <w:spacing w:before="0"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丝印</w:t>
                  </w:r>
                </w:p>
              </w:tc>
              <w:tc>
                <w:tcPr>
                  <w:tcW w:w="1303" w:type="pct"/>
                  <w:noWrap w:val="0"/>
                  <w:vAlign w:val="center"/>
                </w:tcPr>
                <w:p w14:paraId="29C72AEC">
                  <w:pPr>
                    <w:jc w:val="center"/>
                    <w:rPr>
                      <w:rFonts w:hint="default" w:ascii="宋体" w:hAnsi="宋体" w:cs="宋体"/>
                      <w:kern w:val="2"/>
                      <w:sz w:val="24"/>
                      <w:szCs w:val="24"/>
                      <w:highlight w:val="none"/>
                      <w:lang w:val="en-US" w:eastAsia="zh-CN" w:bidi="ar-SA"/>
                    </w:rPr>
                  </w:pPr>
                  <w:r>
                    <w:rPr>
                      <w:rFonts w:hint="eastAsia"/>
                      <w:highlight w:val="none"/>
                      <w:lang w:eastAsia="zh-CN"/>
                    </w:rPr>
                    <w:t>隧道烘干机</w:t>
                  </w:r>
                </w:p>
              </w:tc>
              <w:tc>
                <w:tcPr>
                  <w:tcW w:w="858" w:type="pct"/>
                  <w:noWrap w:val="0"/>
                  <w:vAlign w:val="center"/>
                </w:tcPr>
                <w:p w14:paraId="77A07AFE">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频</w:t>
                  </w:r>
                  <w:r>
                    <w:rPr>
                      <w:rFonts w:hint="default" w:ascii="Times New Roman" w:hAnsi="Times New Roman" w:eastAsia="宋体" w:cs="Times New Roman"/>
                      <w:color w:val="auto"/>
                      <w:sz w:val="21"/>
                      <w:szCs w:val="21"/>
                      <w:highlight w:val="none"/>
                    </w:rPr>
                    <w:t>发</w:t>
                  </w:r>
                </w:p>
              </w:tc>
              <w:tc>
                <w:tcPr>
                  <w:tcW w:w="851" w:type="pct"/>
                  <w:vMerge w:val="restart"/>
                  <w:noWrap w:val="0"/>
                  <w:vAlign w:val="center"/>
                </w:tcPr>
                <w:p w14:paraId="4EA994BD">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类比法</w:t>
                  </w:r>
                </w:p>
              </w:tc>
              <w:tc>
                <w:tcPr>
                  <w:tcW w:w="872" w:type="pct"/>
                  <w:noWrap w:val="0"/>
                  <w:vAlign w:val="center"/>
                </w:tcPr>
                <w:p w14:paraId="2D606AE6">
                  <w:pPr>
                    <w:pStyle w:val="69"/>
                    <w:spacing w:beforeLines="0" w:afterLines="0" w:line="240" w:lineRule="auto"/>
                    <w:ind w:firstLine="0" w:firstLineChars="0"/>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75</w:t>
                  </w:r>
                </w:p>
              </w:tc>
              <w:tc>
                <w:tcPr>
                  <w:tcW w:w="511" w:type="pct"/>
                  <w:vMerge w:val="restart"/>
                  <w:noWrap w:val="0"/>
                  <w:vAlign w:val="center"/>
                </w:tcPr>
                <w:p w14:paraId="232B8770">
                  <w:pPr>
                    <w:widowControl w:val="0"/>
                    <w:spacing w:beforeLines="0" w:afterLines="0"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bCs/>
                      <w:color w:val="auto"/>
                      <w:sz w:val="21"/>
                      <w:szCs w:val="21"/>
                      <w:highlight w:val="none"/>
                      <w:lang w:val="en-US" w:eastAsia="zh-CN"/>
                    </w:rPr>
                    <w:t>12</w:t>
                  </w:r>
                  <w:r>
                    <w:rPr>
                      <w:rFonts w:hint="default" w:ascii="Times New Roman" w:hAnsi="Times New Roman" w:eastAsia="宋体" w:cs="Times New Roman"/>
                      <w:bCs/>
                      <w:color w:val="auto"/>
                      <w:sz w:val="21"/>
                      <w:szCs w:val="21"/>
                      <w:highlight w:val="none"/>
                    </w:rPr>
                    <w:t>h/d</w:t>
                  </w:r>
                </w:p>
              </w:tc>
            </w:tr>
            <w:tr w14:paraId="68889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pct"/>
                  <w:vMerge w:val="continue"/>
                  <w:noWrap w:val="0"/>
                  <w:vAlign w:val="center"/>
                </w:tcPr>
                <w:p w14:paraId="212A21A6">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1303" w:type="pct"/>
                  <w:noWrap w:val="0"/>
                  <w:vAlign w:val="center"/>
                </w:tcPr>
                <w:p w14:paraId="6DAA7775">
                  <w:pPr>
                    <w:widowControl w:val="0"/>
                    <w:spacing w:line="240" w:lineRule="auto"/>
                    <w:jc w:val="center"/>
                    <w:textAlignment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bidi="ar-SA"/>
                    </w:rPr>
                    <w:t>6色裁片印花机</w:t>
                  </w:r>
                </w:p>
              </w:tc>
              <w:tc>
                <w:tcPr>
                  <w:tcW w:w="858" w:type="pct"/>
                  <w:noWrap w:val="0"/>
                  <w:vAlign w:val="center"/>
                </w:tcPr>
                <w:p w14:paraId="7A539C46">
                  <w:pPr>
                    <w:pStyle w:val="10"/>
                    <w:spacing w:before="0"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频</w:t>
                  </w:r>
                  <w:r>
                    <w:rPr>
                      <w:rFonts w:hint="default" w:ascii="Times New Roman" w:hAnsi="Times New Roman" w:eastAsia="宋体" w:cs="Times New Roman"/>
                      <w:color w:val="auto"/>
                      <w:sz w:val="21"/>
                      <w:szCs w:val="21"/>
                      <w:highlight w:val="none"/>
                    </w:rPr>
                    <w:t>发</w:t>
                  </w:r>
                </w:p>
              </w:tc>
              <w:tc>
                <w:tcPr>
                  <w:tcW w:w="851" w:type="pct"/>
                  <w:vMerge w:val="continue"/>
                  <w:noWrap w:val="0"/>
                  <w:vAlign w:val="center"/>
                </w:tcPr>
                <w:p w14:paraId="2E19FEF0">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872" w:type="pct"/>
                  <w:noWrap w:val="0"/>
                  <w:vAlign w:val="center"/>
                </w:tcPr>
                <w:p w14:paraId="640F8298">
                  <w:pPr>
                    <w:pStyle w:val="69"/>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75</w:t>
                  </w:r>
                </w:p>
              </w:tc>
              <w:tc>
                <w:tcPr>
                  <w:tcW w:w="511" w:type="pct"/>
                  <w:vMerge w:val="continue"/>
                  <w:noWrap w:val="0"/>
                  <w:vAlign w:val="center"/>
                </w:tcPr>
                <w:p w14:paraId="774CC342">
                  <w:pPr>
                    <w:widowControl w:val="0"/>
                    <w:spacing w:beforeLines="0" w:afterLines="0" w:line="240" w:lineRule="auto"/>
                    <w:ind w:firstLine="0" w:firstLineChars="0"/>
                    <w:jc w:val="center"/>
                    <w:rPr>
                      <w:rFonts w:hint="default" w:ascii="Times New Roman" w:hAnsi="Times New Roman" w:eastAsia="宋体" w:cs="Times New Roman"/>
                      <w:bCs/>
                      <w:color w:val="auto"/>
                      <w:sz w:val="21"/>
                      <w:szCs w:val="21"/>
                      <w:highlight w:val="none"/>
                    </w:rPr>
                  </w:pPr>
                </w:p>
              </w:tc>
            </w:tr>
            <w:tr w14:paraId="74916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pct"/>
                  <w:vMerge w:val="continue"/>
                  <w:noWrap w:val="0"/>
                  <w:vAlign w:val="center"/>
                </w:tcPr>
                <w:p w14:paraId="38BBA303">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1303" w:type="pct"/>
                  <w:noWrap w:val="0"/>
                  <w:vAlign w:val="center"/>
                </w:tcPr>
                <w:p w14:paraId="67DCC785">
                  <w:pPr>
                    <w:widowControl w:val="0"/>
                    <w:spacing w:line="240" w:lineRule="auto"/>
                    <w:jc w:val="center"/>
                    <w:textAlignment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bidi="ar-SA"/>
                    </w:rPr>
                    <w:t>8色裁片印花机</w:t>
                  </w:r>
                </w:p>
              </w:tc>
              <w:tc>
                <w:tcPr>
                  <w:tcW w:w="858" w:type="pct"/>
                  <w:noWrap w:val="0"/>
                  <w:vAlign w:val="center"/>
                </w:tcPr>
                <w:p w14:paraId="7EEAFA0A">
                  <w:pPr>
                    <w:pStyle w:val="10"/>
                    <w:spacing w:before="0"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频</w:t>
                  </w:r>
                  <w:r>
                    <w:rPr>
                      <w:rFonts w:hint="default" w:ascii="Times New Roman" w:hAnsi="Times New Roman" w:eastAsia="宋体" w:cs="Times New Roman"/>
                      <w:color w:val="auto"/>
                      <w:sz w:val="21"/>
                      <w:szCs w:val="21"/>
                      <w:highlight w:val="none"/>
                    </w:rPr>
                    <w:t>发</w:t>
                  </w:r>
                </w:p>
              </w:tc>
              <w:tc>
                <w:tcPr>
                  <w:tcW w:w="851" w:type="pct"/>
                  <w:vMerge w:val="continue"/>
                  <w:noWrap w:val="0"/>
                  <w:vAlign w:val="center"/>
                </w:tcPr>
                <w:p w14:paraId="0D1218E2">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872" w:type="pct"/>
                  <w:noWrap w:val="0"/>
                  <w:vAlign w:val="center"/>
                </w:tcPr>
                <w:p w14:paraId="07648154">
                  <w:pPr>
                    <w:pStyle w:val="69"/>
                    <w:spacing w:beforeLines="0" w:afterLines="0" w:line="240" w:lineRule="auto"/>
                    <w:ind w:firstLine="0" w:firstLineChars="0"/>
                    <w:rPr>
                      <w:rFonts w:hint="default" w:ascii="Times New Roman" w:hAnsi="Times New Roman" w:eastAsia="宋体" w:cs="Times New Roman"/>
                      <w:color w:val="auto"/>
                      <w:kern w:val="1"/>
                      <w:sz w:val="21"/>
                      <w:szCs w:val="21"/>
                      <w:highlight w:val="none"/>
                      <w:lang w:val="en-US"/>
                    </w:rPr>
                  </w:pPr>
                  <w:r>
                    <w:rPr>
                      <w:rFonts w:hint="eastAsia" w:ascii="Times New Roman" w:hAnsi="Times New Roman"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75</w:t>
                  </w:r>
                </w:p>
              </w:tc>
              <w:tc>
                <w:tcPr>
                  <w:tcW w:w="511" w:type="pct"/>
                  <w:vMerge w:val="continue"/>
                  <w:noWrap w:val="0"/>
                  <w:vAlign w:val="center"/>
                </w:tcPr>
                <w:p w14:paraId="696FD16E">
                  <w:pPr>
                    <w:widowControl w:val="0"/>
                    <w:spacing w:beforeLines="0" w:afterLines="0" w:line="240" w:lineRule="auto"/>
                    <w:ind w:firstLine="0" w:firstLineChars="0"/>
                    <w:jc w:val="center"/>
                    <w:rPr>
                      <w:rFonts w:hint="default" w:ascii="Times New Roman" w:hAnsi="Times New Roman" w:eastAsia="宋体" w:cs="Times New Roman"/>
                      <w:bCs/>
                      <w:color w:val="auto"/>
                      <w:sz w:val="21"/>
                      <w:szCs w:val="21"/>
                      <w:highlight w:val="none"/>
                    </w:rPr>
                  </w:pPr>
                </w:p>
              </w:tc>
            </w:tr>
            <w:tr w14:paraId="60D38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pct"/>
                  <w:vMerge w:val="continue"/>
                  <w:noWrap w:val="0"/>
                  <w:vAlign w:val="center"/>
                </w:tcPr>
                <w:p w14:paraId="0135F525">
                  <w:pPr>
                    <w:pStyle w:val="10"/>
                    <w:spacing w:before="0" w:after="0" w:line="240" w:lineRule="auto"/>
                    <w:jc w:val="center"/>
                    <w:rPr>
                      <w:rFonts w:hint="default" w:ascii="Times New Roman" w:hAnsi="Times New Roman" w:eastAsia="宋体" w:cs="Times New Roman"/>
                      <w:color w:val="auto"/>
                      <w:sz w:val="21"/>
                      <w:szCs w:val="21"/>
                      <w:highlight w:val="none"/>
                      <w:lang w:val="en-US" w:eastAsia="zh-CN"/>
                    </w:rPr>
                  </w:pPr>
                </w:p>
              </w:tc>
              <w:tc>
                <w:tcPr>
                  <w:tcW w:w="1303" w:type="pct"/>
                  <w:noWrap w:val="0"/>
                  <w:vAlign w:val="center"/>
                </w:tcPr>
                <w:p w14:paraId="4FABA482">
                  <w:pPr>
                    <w:widowControl w:val="0"/>
                    <w:spacing w:line="240" w:lineRule="auto"/>
                    <w:jc w:val="center"/>
                    <w:textAlignment w:val="center"/>
                    <w:rPr>
                      <w:rFonts w:hint="eastAsia"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rPr>
                    <w:t>卷布机</w:t>
                  </w:r>
                </w:p>
              </w:tc>
              <w:tc>
                <w:tcPr>
                  <w:tcW w:w="858" w:type="pct"/>
                  <w:noWrap w:val="0"/>
                  <w:vAlign w:val="center"/>
                </w:tcPr>
                <w:p w14:paraId="388D14B7">
                  <w:pPr>
                    <w:pStyle w:val="10"/>
                    <w:spacing w:before="0"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频</w:t>
                  </w:r>
                  <w:r>
                    <w:rPr>
                      <w:rFonts w:hint="default" w:ascii="Times New Roman" w:hAnsi="Times New Roman" w:eastAsia="宋体" w:cs="Times New Roman"/>
                      <w:color w:val="auto"/>
                      <w:sz w:val="21"/>
                      <w:szCs w:val="21"/>
                      <w:highlight w:val="none"/>
                    </w:rPr>
                    <w:t>发</w:t>
                  </w:r>
                </w:p>
              </w:tc>
              <w:tc>
                <w:tcPr>
                  <w:tcW w:w="851" w:type="pct"/>
                  <w:vMerge w:val="continue"/>
                  <w:noWrap w:val="0"/>
                  <w:vAlign w:val="center"/>
                </w:tcPr>
                <w:p w14:paraId="672B2256">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872" w:type="pct"/>
                  <w:noWrap w:val="0"/>
                  <w:vAlign w:val="center"/>
                </w:tcPr>
                <w:p w14:paraId="09CA81B9">
                  <w:pPr>
                    <w:pStyle w:val="69"/>
                    <w:spacing w:beforeLines="0" w:afterLines="0" w:line="240" w:lineRule="auto"/>
                    <w:ind w:firstLine="0" w:firstLineChar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75</w:t>
                  </w:r>
                </w:p>
              </w:tc>
              <w:tc>
                <w:tcPr>
                  <w:tcW w:w="511" w:type="pct"/>
                  <w:vMerge w:val="continue"/>
                  <w:noWrap w:val="0"/>
                  <w:vAlign w:val="center"/>
                </w:tcPr>
                <w:p w14:paraId="6D87933C">
                  <w:pPr>
                    <w:widowControl w:val="0"/>
                    <w:spacing w:beforeLines="0" w:afterLines="0" w:line="240" w:lineRule="auto"/>
                    <w:ind w:firstLine="0" w:firstLineChars="0"/>
                    <w:jc w:val="center"/>
                    <w:rPr>
                      <w:rFonts w:hint="default" w:ascii="Times New Roman" w:hAnsi="Times New Roman" w:eastAsia="宋体" w:cs="Times New Roman"/>
                      <w:bCs/>
                      <w:color w:val="auto"/>
                      <w:sz w:val="21"/>
                      <w:szCs w:val="21"/>
                      <w:highlight w:val="none"/>
                    </w:rPr>
                  </w:pPr>
                </w:p>
              </w:tc>
            </w:tr>
            <w:tr w14:paraId="2846C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pct"/>
                  <w:vMerge w:val="continue"/>
                  <w:noWrap w:val="0"/>
                  <w:vAlign w:val="center"/>
                </w:tcPr>
                <w:p w14:paraId="1C78E357">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1303" w:type="pct"/>
                  <w:noWrap w:val="0"/>
                  <w:vAlign w:val="center"/>
                </w:tcPr>
                <w:p w14:paraId="61109E4E">
                  <w:pPr>
                    <w:widowControl w:val="0"/>
                    <w:spacing w:line="240" w:lineRule="auto"/>
                    <w:jc w:val="center"/>
                    <w:textAlignment w:val="center"/>
                    <w:rPr>
                      <w:rFonts w:hint="eastAsia"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eastAsia="zh-CN"/>
                    </w:rPr>
                    <w:t>松布机</w:t>
                  </w:r>
                </w:p>
              </w:tc>
              <w:tc>
                <w:tcPr>
                  <w:tcW w:w="858" w:type="pct"/>
                  <w:noWrap w:val="0"/>
                  <w:vAlign w:val="center"/>
                </w:tcPr>
                <w:p w14:paraId="723E5851">
                  <w:pPr>
                    <w:pStyle w:val="10"/>
                    <w:spacing w:before="0"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频</w:t>
                  </w:r>
                  <w:r>
                    <w:rPr>
                      <w:rFonts w:hint="default" w:ascii="Times New Roman" w:hAnsi="Times New Roman" w:eastAsia="宋体" w:cs="Times New Roman"/>
                      <w:color w:val="auto"/>
                      <w:sz w:val="21"/>
                      <w:szCs w:val="21"/>
                      <w:highlight w:val="none"/>
                    </w:rPr>
                    <w:t>发</w:t>
                  </w:r>
                </w:p>
              </w:tc>
              <w:tc>
                <w:tcPr>
                  <w:tcW w:w="851" w:type="pct"/>
                  <w:vMerge w:val="continue"/>
                  <w:noWrap w:val="0"/>
                  <w:vAlign w:val="center"/>
                </w:tcPr>
                <w:p w14:paraId="484244B0">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872" w:type="pct"/>
                  <w:noWrap w:val="0"/>
                  <w:vAlign w:val="center"/>
                </w:tcPr>
                <w:p w14:paraId="5505ACBC">
                  <w:pPr>
                    <w:pStyle w:val="69"/>
                    <w:spacing w:beforeLines="0" w:afterLines="0" w:line="240" w:lineRule="auto"/>
                    <w:ind w:firstLine="0" w:firstLineChar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75</w:t>
                  </w:r>
                </w:p>
              </w:tc>
              <w:tc>
                <w:tcPr>
                  <w:tcW w:w="511" w:type="pct"/>
                  <w:vMerge w:val="continue"/>
                  <w:noWrap w:val="0"/>
                  <w:vAlign w:val="center"/>
                </w:tcPr>
                <w:p w14:paraId="6F0CF3DB">
                  <w:pPr>
                    <w:widowControl w:val="0"/>
                    <w:spacing w:beforeLines="0" w:afterLines="0" w:line="240" w:lineRule="auto"/>
                    <w:ind w:firstLine="0" w:firstLineChars="0"/>
                    <w:jc w:val="center"/>
                    <w:rPr>
                      <w:rFonts w:hint="default" w:ascii="Times New Roman" w:hAnsi="Times New Roman" w:eastAsia="宋体" w:cs="Times New Roman"/>
                      <w:bCs/>
                      <w:color w:val="auto"/>
                      <w:sz w:val="21"/>
                      <w:szCs w:val="21"/>
                      <w:highlight w:val="none"/>
                    </w:rPr>
                  </w:pPr>
                </w:p>
              </w:tc>
            </w:tr>
            <w:tr w14:paraId="6FFCF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pct"/>
                  <w:vMerge w:val="continue"/>
                  <w:noWrap w:val="0"/>
                  <w:vAlign w:val="center"/>
                </w:tcPr>
                <w:p w14:paraId="0F1100D1">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1303" w:type="pct"/>
                  <w:noWrap w:val="0"/>
                  <w:vAlign w:val="center"/>
                </w:tcPr>
                <w:p w14:paraId="177B66EF">
                  <w:pPr>
                    <w:jc w:val="center"/>
                    <w:rPr>
                      <w:rFonts w:hint="eastAsia" w:ascii="宋体" w:hAnsi="宋体" w:eastAsia="宋体" w:cs="宋体"/>
                      <w:kern w:val="2"/>
                      <w:sz w:val="24"/>
                      <w:szCs w:val="24"/>
                      <w:highlight w:val="none"/>
                      <w:lang w:val="en-US" w:eastAsia="zh-CN" w:bidi="ar-SA"/>
                    </w:rPr>
                  </w:pPr>
                  <w:r>
                    <w:rPr>
                      <w:rFonts w:hint="eastAsia"/>
                      <w:highlight w:val="none"/>
                      <w:lang w:eastAsia="zh-CN"/>
                    </w:rPr>
                    <w:t>椭圆裁片自动印花机</w:t>
                  </w:r>
                </w:p>
              </w:tc>
              <w:tc>
                <w:tcPr>
                  <w:tcW w:w="858" w:type="pct"/>
                  <w:noWrap w:val="0"/>
                  <w:vAlign w:val="center"/>
                </w:tcPr>
                <w:p w14:paraId="0D194470">
                  <w:pPr>
                    <w:pStyle w:val="10"/>
                    <w:spacing w:before="0"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频</w:t>
                  </w:r>
                  <w:r>
                    <w:rPr>
                      <w:rFonts w:hint="default" w:ascii="Times New Roman" w:hAnsi="Times New Roman" w:eastAsia="宋体" w:cs="Times New Roman"/>
                      <w:color w:val="auto"/>
                      <w:sz w:val="21"/>
                      <w:szCs w:val="21"/>
                      <w:highlight w:val="none"/>
                    </w:rPr>
                    <w:t>发</w:t>
                  </w:r>
                </w:p>
              </w:tc>
              <w:tc>
                <w:tcPr>
                  <w:tcW w:w="851" w:type="pct"/>
                  <w:vMerge w:val="continue"/>
                  <w:noWrap w:val="0"/>
                  <w:vAlign w:val="center"/>
                </w:tcPr>
                <w:p w14:paraId="6F411B3F">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872" w:type="pct"/>
                  <w:noWrap w:val="0"/>
                  <w:vAlign w:val="center"/>
                </w:tcPr>
                <w:p w14:paraId="575F84BB">
                  <w:pPr>
                    <w:pStyle w:val="69"/>
                    <w:spacing w:beforeLines="0" w:afterLines="0" w:line="240" w:lineRule="auto"/>
                    <w:ind w:firstLine="0" w:firstLineChar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75</w:t>
                  </w:r>
                </w:p>
              </w:tc>
              <w:tc>
                <w:tcPr>
                  <w:tcW w:w="511" w:type="pct"/>
                  <w:vMerge w:val="continue"/>
                  <w:noWrap w:val="0"/>
                  <w:vAlign w:val="center"/>
                </w:tcPr>
                <w:p w14:paraId="14D9F349">
                  <w:pPr>
                    <w:widowControl w:val="0"/>
                    <w:spacing w:beforeLines="0" w:afterLines="0" w:line="240" w:lineRule="auto"/>
                    <w:ind w:firstLine="0" w:firstLineChars="0"/>
                    <w:jc w:val="center"/>
                    <w:rPr>
                      <w:rFonts w:hint="default" w:ascii="Times New Roman" w:hAnsi="Times New Roman" w:eastAsia="宋体" w:cs="Times New Roman"/>
                      <w:bCs/>
                      <w:color w:val="auto"/>
                      <w:sz w:val="21"/>
                      <w:szCs w:val="21"/>
                      <w:highlight w:val="none"/>
                    </w:rPr>
                  </w:pPr>
                </w:p>
              </w:tc>
            </w:tr>
            <w:tr w14:paraId="5DFA2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pct"/>
                  <w:vMerge w:val="continue"/>
                  <w:noWrap w:val="0"/>
                  <w:vAlign w:val="center"/>
                </w:tcPr>
                <w:p w14:paraId="3B7455D9">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1303" w:type="pct"/>
                  <w:noWrap w:val="0"/>
                  <w:vAlign w:val="center"/>
                </w:tcPr>
                <w:p w14:paraId="0ABA8A36">
                  <w:pPr>
                    <w:jc w:val="center"/>
                    <w:rPr>
                      <w:rFonts w:hint="eastAsia" w:ascii="宋体" w:hAnsi="宋体" w:eastAsia="宋体" w:cs="宋体"/>
                      <w:kern w:val="2"/>
                      <w:sz w:val="24"/>
                      <w:szCs w:val="24"/>
                      <w:highlight w:val="none"/>
                      <w:lang w:val="en-US" w:eastAsia="zh-CN" w:bidi="ar-SA"/>
                    </w:rPr>
                  </w:pPr>
                  <w:r>
                    <w:rPr>
                      <w:rFonts w:hint="eastAsia"/>
                      <w:highlight w:val="none"/>
                      <w:lang w:eastAsia="zh-CN"/>
                    </w:rPr>
                    <w:t>烘干机</w:t>
                  </w:r>
                </w:p>
              </w:tc>
              <w:tc>
                <w:tcPr>
                  <w:tcW w:w="858" w:type="pct"/>
                  <w:noWrap w:val="0"/>
                  <w:vAlign w:val="center"/>
                </w:tcPr>
                <w:p w14:paraId="5695E1C7">
                  <w:pPr>
                    <w:pStyle w:val="10"/>
                    <w:spacing w:before="0" w:after="0"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频</w:t>
                  </w:r>
                  <w:r>
                    <w:rPr>
                      <w:rFonts w:hint="default" w:ascii="Times New Roman" w:hAnsi="Times New Roman" w:eastAsia="宋体" w:cs="Times New Roman"/>
                      <w:color w:val="auto"/>
                      <w:sz w:val="21"/>
                      <w:szCs w:val="21"/>
                      <w:highlight w:val="none"/>
                    </w:rPr>
                    <w:t>发</w:t>
                  </w:r>
                </w:p>
              </w:tc>
              <w:tc>
                <w:tcPr>
                  <w:tcW w:w="851" w:type="pct"/>
                  <w:vMerge w:val="continue"/>
                  <w:noWrap w:val="0"/>
                  <w:vAlign w:val="center"/>
                </w:tcPr>
                <w:p w14:paraId="1CC16A3E">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872" w:type="pct"/>
                  <w:noWrap w:val="0"/>
                  <w:vAlign w:val="center"/>
                </w:tcPr>
                <w:p w14:paraId="38FC7F8E">
                  <w:pPr>
                    <w:pStyle w:val="69"/>
                    <w:spacing w:beforeLines="0" w:afterLines="0" w:line="240" w:lineRule="auto"/>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75</w:t>
                  </w:r>
                </w:p>
              </w:tc>
              <w:tc>
                <w:tcPr>
                  <w:tcW w:w="511" w:type="pct"/>
                  <w:vMerge w:val="continue"/>
                  <w:noWrap w:val="0"/>
                  <w:vAlign w:val="center"/>
                </w:tcPr>
                <w:p w14:paraId="7BC7E041">
                  <w:pPr>
                    <w:widowControl w:val="0"/>
                    <w:spacing w:beforeLines="0" w:afterLines="0" w:line="240" w:lineRule="auto"/>
                    <w:ind w:firstLine="0" w:firstLineChars="0"/>
                    <w:jc w:val="center"/>
                    <w:rPr>
                      <w:rFonts w:hint="default" w:ascii="Times New Roman" w:hAnsi="Times New Roman" w:eastAsia="宋体" w:cs="Times New Roman"/>
                      <w:bCs/>
                      <w:color w:val="auto"/>
                      <w:sz w:val="21"/>
                      <w:szCs w:val="21"/>
                      <w:highlight w:val="none"/>
                    </w:rPr>
                  </w:pPr>
                </w:p>
              </w:tc>
            </w:tr>
            <w:tr w14:paraId="3868F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pct"/>
                  <w:vMerge w:val="continue"/>
                  <w:noWrap w:val="0"/>
                  <w:vAlign w:val="center"/>
                </w:tcPr>
                <w:p w14:paraId="07583541">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1303" w:type="pct"/>
                  <w:noWrap w:val="0"/>
                  <w:vAlign w:val="center"/>
                </w:tcPr>
                <w:p w14:paraId="55076B99">
                  <w:pPr>
                    <w:jc w:val="center"/>
                    <w:rPr>
                      <w:rFonts w:hint="eastAsia"/>
                      <w:highlight w:val="none"/>
                      <w:lang w:eastAsia="zh-CN"/>
                    </w:rPr>
                  </w:pPr>
                  <w:r>
                    <w:rPr>
                      <w:rFonts w:hint="eastAsia"/>
                      <w:highlight w:val="none"/>
                      <w:lang w:eastAsia="zh-CN"/>
                    </w:rPr>
                    <w:t>电烫机</w:t>
                  </w:r>
                </w:p>
              </w:tc>
              <w:tc>
                <w:tcPr>
                  <w:tcW w:w="858" w:type="pct"/>
                  <w:noWrap w:val="0"/>
                  <w:vAlign w:val="center"/>
                </w:tcPr>
                <w:p w14:paraId="5F365ADC">
                  <w:pPr>
                    <w:pStyle w:val="10"/>
                    <w:spacing w:before="0" w:after="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eastAsia="zh-CN"/>
                    </w:rPr>
                    <w:t>频发</w:t>
                  </w:r>
                </w:p>
              </w:tc>
              <w:tc>
                <w:tcPr>
                  <w:tcW w:w="851" w:type="pct"/>
                  <w:vMerge w:val="continue"/>
                  <w:noWrap w:val="0"/>
                  <w:vAlign w:val="center"/>
                </w:tcPr>
                <w:p w14:paraId="29AA2094">
                  <w:pPr>
                    <w:pStyle w:val="10"/>
                    <w:spacing w:before="0" w:after="0" w:line="240" w:lineRule="auto"/>
                    <w:jc w:val="center"/>
                    <w:rPr>
                      <w:rFonts w:hint="default" w:ascii="Times New Roman" w:hAnsi="Times New Roman" w:eastAsia="宋体" w:cs="Times New Roman"/>
                      <w:color w:val="auto"/>
                      <w:sz w:val="21"/>
                      <w:szCs w:val="21"/>
                      <w:highlight w:val="none"/>
                    </w:rPr>
                  </w:pPr>
                </w:p>
              </w:tc>
              <w:tc>
                <w:tcPr>
                  <w:tcW w:w="872" w:type="pct"/>
                  <w:noWrap w:val="0"/>
                  <w:vAlign w:val="center"/>
                </w:tcPr>
                <w:p w14:paraId="368BCBD7">
                  <w:pPr>
                    <w:pStyle w:val="69"/>
                    <w:spacing w:beforeLines="0" w:afterLines="0" w:line="240" w:lineRule="auto"/>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70~75</w:t>
                  </w:r>
                </w:p>
              </w:tc>
              <w:tc>
                <w:tcPr>
                  <w:tcW w:w="511" w:type="pct"/>
                  <w:vMerge w:val="continue"/>
                  <w:noWrap w:val="0"/>
                  <w:vAlign w:val="center"/>
                </w:tcPr>
                <w:p w14:paraId="60328379">
                  <w:pPr>
                    <w:widowControl w:val="0"/>
                    <w:spacing w:beforeLines="0" w:afterLines="0" w:line="240" w:lineRule="auto"/>
                    <w:ind w:firstLine="0" w:firstLineChars="0"/>
                    <w:jc w:val="center"/>
                    <w:rPr>
                      <w:rFonts w:hint="default" w:ascii="Times New Roman" w:hAnsi="Times New Roman" w:eastAsia="宋体" w:cs="Times New Roman"/>
                      <w:bCs/>
                      <w:color w:val="auto"/>
                      <w:sz w:val="21"/>
                      <w:szCs w:val="21"/>
                      <w:highlight w:val="none"/>
                    </w:rPr>
                  </w:pPr>
                </w:p>
              </w:tc>
            </w:tr>
          </w:tbl>
          <w:p w14:paraId="0B99AE8E">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3.2噪声防治措施</w:t>
            </w:r>
          </w:p>
          <w:p w14:paraId="6E313CE5">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sz w:val="24"/>
                <w:szCs w:val="24"/>
                <w:highlight w:val="none"/>
                <w:lang w:eastAsia="zh-CN"/>
              </w:rPr>
            </w:pPr>
            <w:bookmarkStart w:id="60" w:name="_Toc22108"/>
            <w:bookmarkStart w:id="61" w:name="_Toc19180"/>
            <w:r>
              <w:rPr>
                <w:rFonts w:hint="default" w:ascii="Times New Roman" w:hAnsi="Times New Roman" w:eastAsia="宋体" w:cs="Times New Roman"/>
                <w:color w:val="000000"/>
                <w:sz w:val="24"/>
                <w:szCs w:val="24"/>
                <w:highlight w:val="none"/>
                <w:lang w:eastAsia="zh-CN"/>
              </w:rPr>
              <w:t>项目主要噪声源位于生产厂房内，建设单位拟采取的噪声治理措施如下：</w:t>
            </w:r>
            <w:bookmarkEnd w:id="60"/>
            <w:bookmarkEnd w:id="61"/>
          </w:p>
          <w:p w14:paraId="0803A2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z w:val="24"/>
                <w:szCs w:val="24"/>
                <w:highlight w:val="none"/>
                <w:lang w:val="en-GB" w:eastAsia="zh-CN"/>
              </w:rPr>
            </w:pPr>
            <w:r>
              <w:rPr>
                <w:rFonts w:hint="default" w:ascii="Times New Roman" w:hAnsi="Times New Roman" w:eastAsia="宋体" w:cs="Times New Roman"/>
                <w:color w:val="000000"/>
                <w:sz w:val="24"/>
                <w:szCs w:val="24"/>
                <w:highlight w:val="none"/>
                <w:lang w:val="en-GB" w:eastAsia="zh-CN"/>
              </w:rPr>
              <w:t>（</w:t>
            </w:r>
            <w:r>
              <w:rPr>
                <w:rFonts w:hint="default"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lang w:val="en-GB" w:eastAsia="zh-CN"/>
              </w:rPr>
              <w:t>）购置低噪声生产设备；</w:t>
            </w:r>
          </w:p>
          <w:p w14:paraId="79FB31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z w:val="24"/>
                <w:szCs w:val="24"/>
                <w:highlight w:val="none"/>
                <w:lang w:val="en-GB" w:eastAsia="zh-CN"/>
              </w:rPr>
            </w:pPr>
            <w:r>
              <w:rPr>
                <w:rFonts w:hint="default" w:ascii="Times New Roman" w:hAnsi="Times New Roman" w:eastAsia="宋体" w:cs="Times New Roman"/>
                <w:color w:val="000000"/>
                <w:sz w:val="24"/>
                <w:szCs w:val="24"/>
                <w:highlight w:val="none"/>
                <w:lang w:val="en-GB" w:eastAsia="zh-CN"/>
              </w:rPr>
              <w:t>（</w:t>
            </w:r>
            <w:r>
              <w:rPr>
                <w:rFonts w:hint="default"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lang w:val="en-GB" w:eastAsia="zh-CN"/>
              </w:rPr>
              <w:t>）对厂区</w:t>
            </w:r>
            <w:r>
              <w:rPr>
                <w:rFonts w:hint="default" w:ascii="Times New Roman" w:hAnsi="Times New Roman" w:eastAsia="宋体" w:cs="Times New Roman"/>
                <w:color w:val="000000"/>
                <w:sz w:val="24"/>
                <w:szCs w:val="24"/>
                <w:highlight w:val="none"/>
                <w:lang w:val="en-GB"/>
              </w:rPr>
              <w:t>进行合理布局；对</w:t>
            </w:r>
            <w:r>
              <w:rPr>
                <w:rFonts w:hint="default" w:ascii="Times New Roman" w:hAnsi="Times New Roman" w:eastAsia="宋体" w:cs="Times New Roman"/>
                <w:color w:val="000000"/>
                <w:sz w:val="24"/>
                <w:szCs w:val="24"/>
                <w:highlight w:val="none"/>
                <w:lang w:val="en-GB" w:eastAsia="zh-CN"/>
              </w:rPr>
              <w:t>噪声较大</w:t>
            </w:r>
            <w:r>
              <w:rPr>
                <w:rFonts w:hint="default" w:ascii="Times New Roman" w:hAnsi="Times New Roman" w:eastAsia="宋体" w:cs="Times New Roman"/>
                <w:color w:val="000000"/>
                <w:sz w:val="24"/>
                <w:szCs w:val="24"/>
                <w:highlight w:val="none"/>
                <w:lang w:val="en-GB"/>
              </w:rPr>
              <w:t>设备安装减震垫</w:t>
            </w:r>
            <w:r>
              <w:rPr>
                <w:rFonts w:hint="default" w:ascii="Times New Roman" w:hAnsi="Times New Roman" w:eastAsia="宋体" w:cs="Times New Roman"/>
                <w:color w:val="000000"/>
                <w:sz w:val="24"/>
                <w:szCs w:val="24"/>
                <w:highlight w:val="none"/>
                <w:lang w:val="en-GB" w:eastAsia="zh-CN"/>
              </w:rPr>
              <w:t>；</w:t>
            </w:r>
            <w:r>
              <w:rPr>
                <w:rFonts w:hint="eastAsia" w:ascii="Times New Roman" w:hAnsi="Times New Roman" w:eastAsia="宋体" w:cs="Times New Roman"/>
                <w:color w:val="000000"/>
                <w:sz w:val="24"/>
                <w:szCs w:val="24"/>
                <w:highlight w:val="none"/>
                <w:lang w:val="en-GB" w:eastAsia="zh-CN"/>
              </w:rPr>
              <w:t>利用厂房隔声；同时生产运营期间关闭门窗；</w:t>
            </w:r>
          </w:p>
          <w:p w14:paraId="147ED0AE">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outlineLvl w:val="9"/>
              <w:rPr>
                <w:rFonts w:hint="default" w:ascii="Times New Roman" w:hAnsi="Times New Roman" w:eastAsia="宋体" w:cs="Times New Roman"/>
                <w:color w:val="000000"/>
                <w:sz w:val="24"/>
                <w:szCs w:val="24"/>
                <w:highlight w:val="none"/>
              </w:rPr>
            </w:pPr>
            <w:bookmarkStart w:id="62" w:name="_Toc5505"/>
            <w:bookmarkStart w:id="63" w:name="_Toc1888"/>
            <w:r>
              <w:rPr>
                <w:rFonts w:hint="default" w:ascii="Times New Roman" w:hAnsi="Times New Roman" w:eastAsia="宋体" w:cs="Times New Roman"/>
                <w:color w:val="000000"/>
                <w:sz w:val="24"/>
                <w:szCs w:val="24"/>
                <w:highlight w:val="none"/>
                <w:lang w:val="en-GB" w:eastAsia="zh-CN"/>
              </w:rPr>
              <w:t>（</w:t>
            </w:r>
            <w:r>
              <w:rPr>
                <w:rFonts w:hint="default"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val="en-GB" w:eastAsia="zh-CN"/>
              </w:rPr>
              <w:t>）</w:t>
            </w:r>
            <w:r>
              <w:rPr>
                <w:rFonts w:hint="default" w:ascii="Times New Roman" w:hAnsi="Times New Roman" w:eastAsia="宋体" w:cs="Times New Roman"/>
                <w:color w:val="000000"/>
                <w:sz w:val="24"/>
                <w:szCs w:val="24"/>
                <w:highlight w:val="none"/>
                <w:lang w:eastAsia="zh-CN"/>
              </w:rPr>
              <w:t>建设单位</w:t>
            </w:r>
            <w:r>
              <w:rPr>
                <w:rFonts w:hint="default" w:ascii="Times New Roman" w:hAnsi="Times New Roman" w:eastAsia="宋体" w:cs="Times New Roman"/>
                <w:color w:val="000000"/>
                <w:sz w:val="24"/>
                <w:szCs w:val="24"/>
                <w:highlight w:val="none"/>
              </w:rPr>
              <w:t>加强设备日常维护，定期检修，使设备处于良好的运转状态，避免因设备运转不正常时噪声的增高</w:t>
            </w:r>
            <w:r>
              <w:rPr>
                <w:rFonts w:hint="default" w:ascii="Times New Roman" w:hAnsi="Times New Roman" w:eastAsia="宋体" w:cs="Times New Roman"/>
                <w:color w:val="000000"/>
                <w:sz w:val="24"/>
                <w:szCs w:val="24"/>
                <w:highlight w:val="none"/>
                <w:lang w:eastAsia="zh-CN"/>
              </w:rPr>
              <w:t>，若设备因损坏导致噪声异常的，应及时停产修理，避免异常噪声对周围环境造成影响</w:t>
            </w:r>
            <w:r>
              <w:rPr>
                <w:rFonts w:hint="default" w:ascii="Times New Roman" w:hAnsi="Times New Roman" w:eastAsia="宋体" w:cs="Times New Roman"/>
                <w:color w:val="000000"/>
                <w:sz w:val="24"/>
                <w:szCs w:val="24"/>
                <w:highlight w:val="none"/>
              </w:rPr>
              <w:t>。</w:t>
            </w:r>
            <w:bookmarkEnd w:id="62"/>
            <w:bookmarkEnd w:id="63"/>
          </w:p>
          <w:p w14:paraId="0487390C">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3.3噪声</w:t>
            </w:r>
            <w:r>
              <w:rPr>
                <w:rFonts w:hint="default" w:ascii="Times New Roman" w:hAnsi="Times New Roman" w:eastAsia="宋体" w:cs="Times New Roman"/>
                <w:b/>
                <w:bCs/>
                <w:color w:val="auto"/>
                <w:sz w:val="24"/>
                <w:szCs w:val="24"/>
                <w:highlight w:val="none"/>
                <w:lang w:eastAsia="zh-CN"/>
              </w:rPr>
              <w:t>影响分析</w:t>
            </w:r>
          </w:p>
          <w:p w14:paraId="09AC1873">
            <w:pPr>
              <w:adjustRightInd w:val="0"/>
              <w:snapToGrid w:val="0"/>
              <w:spacing w:line="360" w:lineRule="auto"/>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①预测模式</w:t>
            </w:r>
          </w:p>
          <w:p w14:paraId="71DCD1B7">
            <w:pPr>
              <w:adjustRightInd/>
              <w:snapToGrid/>
              <w:spacing w:line="360" w:lineRule="auto"/>
              <w:ind w:firstLine="480" w:firstLineChars="200"/>
              <w:rPr>
                <w:rFonts w:hint="default" w:ascii="Times New Roman" w:hAnsi="Times New Roman" w:eastAsia="宋体" w:cs="Times New Roman"/>
                <w:color w:val="000000"/>
                <w:sz w:val="24"/>
                <w:highlight w:val="none"/>
              </w:rPr>
            </w:pPr>
            <w:r>
              <w:rPr>
                <w:rFonts w:hint="eastAsia" w:ascii="Times New Roman" w:hAnsi="Times New Roman" w:eastAsia="宋体" w:cs="Times New Roman"/>
                <w:b w:val="0"/>
                <w:bCs/>
                <w:color w:val="auto"/>
                <w:sz w:val="24"/>
                <w:szCs w:val="24"/>
                <w:highlight w:val="none"/>
                <w:lang w:eastAsia="zh-CN"/>
              </w:rPr>
              <w:t>本项目最近敏感</w:t>
            </w:r>
            <w:r>
              <w:rPr>
                <w:rFonts w:hint="default" w:ascii="Times New Roman" w:hAnsi="Times New Roman" w:eastAsia="宋体" w:cs="Times New Roman"/>
                <w:b w:val="0"/>
                <w:bCs w:val="0"/>
                <w:color w:val="000000"/>
                <w:sz w:val="24"/>
                <w:szCs w:val="24"/>
                <w:highlight w:val="none"/>
                <w:lang w:eastAsia="zh-CN"/>
              </w:rPr>
              <w:t>目标为</w:t>
            </w:r>
            <w:r>
              <w:rPr>
                <w:rFonts w:hint="eastAsia" w:cs="Times New Roman"/>
                <w:b w:val="0"/>
                <w:bCs w:val="0"/>
                <w:color w:val="000000"/>
                <w:sz w:val="24"/>
                <w:szCs w:val="24"/>
                <w:highlight w:val="none"/>
                <w:lang w:eastAsia="zh-CN"/>
              </w:rPr>
              <w:t>东</w:t>
            </w:r>
            <w:r>
              <w:rPr>
                <w:rFonts w:hint="default" w:ascii="Times New Roman" w:hAnsi="Times New Roman" w:eastAsia="宋体" w:cs="Times New Roman"/>
                <w:b w:val="0"/>
                <w:bCs w:val="0"/>
                <w:color w:val="000000"/>
                <w:sz w:val="24"/>
                <w:szCs w:val="24"/>
                <w:highlight w:val="none"/>
                <w:lang w:eastAsia="zh-CN"/>
              </w:rPr>
              <w:t>北侧距离约</w:t>
            </w:r>
            <w:r>
              <w:rPr>
                <w:rFonts w:hint="eastAsia" w:ascii="Times New Roman" w:hAnsi="Times New Roman" w:eastAsia="宋体" w:cs="Times New Roman"/>
                <w:b w:val="0"/>
                <w:bCs w:val="0"/>
                <w:color w:val="000000"/>
                <w:sz w:val="24"/>
                <w:szCs w:val="24"/>
                <w:highlight w:val="none"/>
                <w:lang w:val="en-US" w:eastAsia="zh-CN"/>
              </w:rPr>
              <w:t>57</w:t>
            </w:r>
            <w:r>
              <w:rPr>
                <w:rFonts w:hint="default" w:ascii="Times New Roman" w:hAnsi="Times New Roman" w:eastAsia="宋体" w:cs="Times New Roman"/>
                <w:b w:val="0"/>
                <w:bCs w:val="0"/>
                <w:color w:val="000000"/>
                <w:sz w:val="24"/>
                <w:szCs w:val="24"/>
                <w:highlight w:val="none"/>
                <w:lang w:val="en-US" w:eastAsia="zh-CN"/>
              </w:rPr>
              <w:t>m的</w:t>
            </w:r>
            <w:r>
              <w:rPr>
                <w:rFonts w:hint="eastAsia" w:ascii="Times New Roman" w:hAnsi="Times New Roman" w:eastAsia="宋体" w:cs="Times New Roman"/>
                <w:b w:val="0"/>
                <w:bCs w:val="0"/>
                <w:color w:val="000000"/>
                <w:sz w:val="24"/>
                <w:szCs w:val="24"/>
                <w:highlight w:val="none"/>
                <w:lang w:val="en-US" w:eastAsia="zh-CN"/>
              </w:rPr>
              <w:t>田洋村</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000000"/>
                <w:sz w:val="24"/>
                <w:highlight w:val="none"/>
              </w:rPr>
              <w:t>项目主要设备噪声源均可作为点声源处理，考虑设备噪声向周围空间的传播过程中，近似地认为在半自由场中扩散，根据</w:t>
            </w:r>
            <w:r>
              <w:rPr>
                <w:rFonts w:hint="default" w:ascii="Times New Roman" w:hAnsi="Times New Roman" w:eastAsia="宋体" w:cs="Times New Roman"/>
                <w:color w:val="000000"/>
                <w:sz w:val="24"/>
                <w:szCs w:val="24"/>
                <w:highlight w:val="none"/>
              </w:rPr>
              <w:t>HJ2.4-2021</w:t>
            </w:r>
            <w:r>
              <w:rPr>
                <w:rFonts w:ascii="宋体" w:hAnsi="宋体" w:eastAsia="宋体" w:cs="宋体"/>
                <w:color w:val="000000"/>
                <w:sz w:val="24"/>
                <w:szCs w:val="24"/>
                <w:highlight w:val="none"/>
              </w:rPr>
              <w:t>《环境影响评价技术导则—声环境》</w:t>
            </w:r>
            <w:r>
              <w:rPr>
                <w:rFonts w:hint="default" w:ascii="Times New Roman" w:hAnsi="Times New Roman" w:eastAsia="宋体" w:cs="Times New Roman"/>
                <w:color w:val="000000"/>
                <w:sz w:val="24"/>
                <w:highlight w:val="none"/>
              </w:rPr>
              <w:t>推荐方法，选取点声源半自由声场传播模式。</w:t>
            </w:r>
          </w:p>
          <w:p w14:paraId="6681FE10">
            <w:pPr>
              <w:pStyle w:val="91"/>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center"/>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highlight w:val="none"/>
              </w:rPr>
              <w:drawing>
                <wp:inline distT="0" distB="0" distL="114300" distR="114300">
                  <wp:extent cx="1922145" cy="539750"/>
                  <wp:effectExtent l="0" t="0" r="1905" b="12700"/>
                  <wp:docPr id="24"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0"/>
                          <pic:cNvPicPr>
                            <a:picLocks noChangeAspect="1"/>
                          </pic:cNvPicPr>
                        </pic:nvPicPr>
                        <pic:blipFill>
                          <a:blip r:embed="rId20"/>
                          <a:stretch>
                            <a:fillRect/>
                          </a:stretch>
                        </pic:blipFill>
                        <pic:spPr>
                          <a:xfrm>
                            <a:off x="0" y="0"/>
                            <a:ext cx="1922145" cy="539750"/>
                          </a:xfrm>
                          <a:prstGeom prst="rect">
                            <a:avLst/>
                          </a:prstGeom>
                          <a:noFill/>
                          <a:ln>
                            <a:noFill/>
                          </a:ln>
                        </pic:spPr>
                      </pic:pic>
                    </a:graphicData>
                  </a:graphic>
                </wp:inline>
              </w:drawing>
            </w:r>
          </w:p>
          <w:p w14:paraId="5DC3E3DD">
            <w:pPr>
              <w:pageBreakBefore w:val="0"/>
              <w:widowControl w:val="0"/>
              <w:kinsoku/>
              <w:wordWrap/>
              <w:overflowPunct/>
              <w:topLinePunct w:val="0"/>
              <w:bidi w:val="0"/>
              <w:snapToGrid w:val="0"/>
              <w:spacing w:beforeLines="0" w:afterLines="0" w:line="360" w:lineRule="auto"/>
              <w:ind w:firstLine="480"/>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式中：Leqg——预测点的噪声贡献值，dB(A)；</w:t>
            </w:r>
          </w:p>
          <w:p w14:paraId="70822E82">
            <w:pPr>
              <w:pageBreakBefore w:val="0"/>
              <w:widowControl w:val="0"/>
              <w:kinsoku/>
              <w:wordWrap/>
              <w:overflowPunct/>
              <w:topLinePunct w:val="0"/>
              <w:bidi w:val="0"/>
              <w:snapToGrid w:val="0"/>
              <w:spacing w:beforeLines="0" w:afterLines="0" w:line="360" w:lineRule="auto"/>
              <w:ind w:firstLine="1050" w:firstLineChars="500"/>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L</w:t>
            </w:r>
            <w:r>
              <w:rPr>
                <w:rFonts w:hint="default" w:ascii="Times New Roman" w:hAnsi="Times New Roman" w:eastAsia="宋体" w:cs="Times New Roman"/>
                <w:color w:val="000000"/>
                <w:highlight w:val="none"/>
                <w:vertAlign w:val="subscript"/>
              </w:rPr>
              <w:t>A,i</w:t>
            </w:r>
            <w:r>
              <w:rPr>
                <w:rFonts w:hint="default" w:ascii="Times New Roman" w:hAnsi="Times New Roman" w:eastAsia="宋体" w:cs="Times New Roman"/>
                <w:color w:val="000000"/>
                <w:highlight w:val="none"/>
              </w:rPr>
              <w:t>——第i个声源对预测点的噪声贡献值，dB(A)；</w:t>
            </w:r>
          </w:p>
          <w:p w14:paraId="06D9F853">
            <w:pPr>
              <w:pageBreakBefore w:val="0"/>
              <w:widowControl w:val="0"/>
              <w:kinsoku/>
              <w:wordWrap/>
              <w:overflowPunct/>
              <w:topLinePunct w:val="0"/>
              <w:bidi w:val="0"/>
              <w:snapToGrid w:val="0"/>
              <w:spacing w:beforeLines="0" w:afterLines="0" w:line="360" w:lineRule="auto"/>
              <w:ind w:firstLine="1050" w:firstLineChars="500"/>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N——声源个数。</w:t>
            </w:r>
          </w:p>
          <w:p w14:paraId="46804CC5">
            <w:pPr>
              <w:pStyle w:val="91"/>
              <w:pageBreakBefore w:val="0"/>
              <w:widowControl w:val="0"/>
              <w:kinsoku/>
              <w:wordWrap/>
              <w:overflowPunct/>
              <w:topLinePunct w:val="0"/>
              <w:bidi w:val="0"/>
              <w:snapToGrid/>
              <w:spacing w:before="0" w:beforeLines="0" w:after="0" w:afterLines="0"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仅考虑距离衰减根据半自由场空间点源距离衰减公式估算，半自由场空间点源距离 衰减计算公式如下：</w:t>
            </w:r>
          </w:p>
          <w:p w14:paraId="6EAE98D8">
            <w:pPr>
              <w:pageBreakBefore w:val="0"/>
              <w:widowControl w:val="0"/>
              <w:kinsoku/>
              <w:wordWrap/>
              <w:overflowPunct/>
              <w:topLinePunct w:val="0"/>
              <w:bidi w:val="0"/>
              <w:snapToGrid w:val="0"/>
              <w:spacing w:beforeLines="0" w:afterLines="0" w:line="360" w:lineRule="auto"/>
              <w:ind w:firstLine="480"/>
              <w:jc w:val="both"/>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L</w:t>
            </w:r>
            <w:r>
              <w:rPr>
                <w:rFonts w:hint="default" w:ascii="Times New Roman" w:hAnsi="Times New Roman" w:eastAsia="宋体" w:cs="Times New Roman"/>
                <w:color w:val="000000"/>
                <w:sz w:val="24"/>
                <w:highlight w:val="none"/>
                <w:vertAlign w:val="subscript"/>
              </w:rPr>
              <w:t>A</w:t>
            </w:r>
            <w:r>
              <w:rPr>
                <w:rFonts w:hint="default" w:ascii="Times New Roman" w:hAnsi="Times New Roman" w:eastAsia="宋体" w:cs="Times New Roman"/>
                <w:color w:val="000000"/>
                <w:sz w:val="24"/>
                <w:highlight w:val="none"/>
              </w:rPr>
              <w:t>(r)＝L</w:t>
            </w:r>
            <w:r>
              <w:rPr>
                <w:rFonts w:hint="eastAsia" w:ascii="Times New Roman" w:hAnsi="Times New Roman" w:eastAsia="宋体" w:cs="Times New Roman"/>
                <w:color w:val="000000"/>
                <w:sz w:val="24"/>
                <w:highlight w:val="none"/>
                <w:vertAlign w:val="subscript"/>
                <w:lang w:val="en-US" w:eastAsia="zh-CN"/>
              </w:rPr>
              <w:t>WA</w:t>
            </w:r>
            <w:r>
              <w:rPr>
                <w:rFonts w:hint="default" w:ascii="Times New Roman" w:hAnsi="Times New Roman" w:eastAsia="宋体" w:cs="Times New Roman"/>
                <w:color w:val="000000"/>
                <w:sz w:val="24"/>
                <w:highlight w:val="none"/>
              </w:rPr>
              <w:t>－20lgr－△L</w:t>
            </w:r>
            <w:r>
              <w:rPr>
                <w:rFonts w:hint="default" w:ascii="Times New Roman" w:hAnsi="Times New Roman" w:eastAsia="宋体" w:cs="Times New Roman"/>
                <w:color w:val="000000"/>
                <w:sz w:val="24"/>
                <w:highlight w:val="none"/>
                <w:vertAlign w:val="subscript"/>
              </w:rPr>
              <w:t>A</w:t>
            </w:r>
          </w:p>
          <w:p w14:paraId="298E0C2D">
            <w:pPr>
              <w:pageBreakBefore w:val="0"/>
              <w:widowControl w:val="0"/>
              <w:kinsoku/>
              <w:wordWrap/>
              <w:overflowPunct/>
              <w:topLinePunct w:val="0"/>
              <w:bidi w:val="0"/>
              <w:snapToGrid w:val="0"/>
              <w:spacing w:beforeLines="0" w:afterLines="0" w:line="360" w:lineRule="auto"/>
              <w:ind w:firstLine="48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式中：L</w:t>
            </w:r>
            <w:r>
              <w:rPr>
                <w:rFonts w:hint="default" w:ascii="Times New Roman" w:hAnsi="Times New Roman" w:eastAsia="宋体" w:cs="Times New Roman"/>
                <w:color w:val="000000"/>
                <w:sz w:val="24"/>
                <w:highlight w:val="none"/>
                <w:vertAlign w:val="subscript"/>
              </w:rPr>
              <w:t>A</w:t>
            </w:r>
            <w:r>
              <w:rPr>
                <w:rFonts w:hint="default" w:ascii="Times New Roman" w:hAnsi="Times New Roman" w:eastAsia="宋体" w:cs="Times New Roman"/>
                <w:color w:val="000000"/>
                <w:sz w:val="24"/>
                <w:highlight w:val="none"/>
              </w:rPr>
              <w:t>(r)——</w:t>
            </w:r>
            <w:r>
              <w:rPr>
                <w:rFonts w:hint="eastAsia" w:ascii="Times New Roman" w:hAnsi="Times New Roman" w:eastAsia="宋体" w:cs="Times New Roman"/>
                <w:color w:val="000000"/>
                <w:sz w:val="24"/>
                <w:highlight w:val="none"/>
                <w:lang w:eastAsia="zh-CN"/>
              </w:rPr>
              <w:t>距离</w:t>
            </w:r>
            <w:r>
              <w:rPr>
                <w:rFonts w:hint="default" w:ascii="Times New Roman" w:hAnsi="Times New Roman" w:eastAsia="宋体" w:cs="Times New Roman"/>
                <w:color w:val="000000"/>
                <w:sz w:val="24"/>
                <w:highlight w:val="none"/>
              </w:rPr>
              <w:t>r处的A声</w:t>
            </w:r>
            <w:r>
              <w:rPr>
                <w:rFonts w:hint="eastAsia" w:ascii="Times New Roman" w:hAnsi="Times New Roman" w:eastAsia="宋体" w:cs="Times New Roman"/>
                <w:color w:val="000000"/>
                <w:sz w:val="24"/>
                <w:highlight w:val="none"/>
                <w:lang w:eastAsia="zh-CN"/>
              </w:rPr>
              <w:t>功率级</w:t>
            </w:r>
            <w:r>
              <w:rPr>
                <w:rFonts w:hint="default" w:ascii="Times New Roman" w:hAnsi="Times New Roman" w:eastAsia="宋体" w:cs="Times New Roman"/>
                <w:color w:val="000000"/>
                <w:sz w:val="24"/>
                <w:highlight w:val="none"/>
              </w:rPr>
              <w:t>，dB(A)；</w:t>
            </w:r>
          </w:p>
          <w:p w14:paraId="3AF49FE1">
            <w:pPr>
              <w:pageBreakBefore w:val="0"/>
              <w:widowControl w:val="0"/>
              <w:kinsoku/>
              <w:wordWrap/>
              <w:overflowPunct/>
              <w:topLinePunct w:val="0"/>
              <w:bidi w:val="0"/>
              <w:snapToGrid w:val="0"/>
              <w:spacing w:beforeLines="0" w:afterLines="0" w:line="360" w:lineRule="auto"/>
              <w:ind w:firstLine="1200" w:firstLineChars="5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L</w:t>
            </w:r>
            <w:r>
              <w:rPr>
                <w:rFonts w:hint="eastAsia" w:ascii="Times New Roman" w:hAnsi="Times New Roman" w:eastAsia="宋体" w:cs="Times New Roman"/>
                <w:color w:val="000000"/>
                <w:sz w:val="24"/>
                <w:highlight w:val="none"/>
                <w:vertAlign w:val="subscript"/>
                <w:lang w:val="en-US" w:eastAsia="zh-CN"/>
              </w:rPr>
              <w:t>WA</w:t>
            </w:r>
            <w:r>
              <w:rPr>
                <w:rFonts w:hint="default" w:ascii="Times New Roman" w:hAnsi="Times New Roman" w:eastAsia="宋体" w:cs="Times New Roman"/>
                <w:color w:val="000000"/>
                <w:sz w:val="24"/>
                <w:highlight w:val="none"/>
              </w:rPr>
              <w:t>——</w:t>
            </w:r>
            <w:r>
              <w:rPr>
                <w:rFonts w:hint="eastAsia" w:ascii="Times New Roman" w:hAnsi="Times New Roman" w:eastAsia="宋体" w:cs="Times New Roman"/>
                <w:color w:val="000000"/>
                <w:sz w:val="24"/>
                <w:highlight w:val="none"/>
                <w:lang w:eastAsia="zh-CN"/>
              </w:rPr>
              <w:t>生源的</w:t>
            </w:r>
            <w:r>
              <w:rPr>
                <w:rFonts w:hint="default" w:ascii="Times New Roman" w:hAnsi="Times New Roman" w:eastAsia="宋体" w:cs="Times New Roman"/>
                <w:color w:val="000000"/>
                <w:sz w:val="24"/>
                <w:highlight w:val="none"/>
              </w:rPr>
              <w:t>A声</w:t>
            </w:r>
            <w:r>
              <w:rPr>
                <w:rFonts w:hint="eastAsia" w:ascii="Times New Roman" w:hAnsi="Times New Roman" w:eastAsia="宋体" w:cs="Times New Roman"/>
                <w:color w:val="000000"/>
                <w:sz w:val="24"/>
                <w:highlight w:val="none"/>
                <w:lang w:eastAsia="zh-CN"/>
              </w:rPr>
              <w:t>功率级</w:t>
            </w:r>
            <w:r>
              <w:rPr>
                <w:rFonts w:hint="default" w:ascii="Times New Roman" w:hAnsi="Times New Roman" w:eastAsia="宋体" w:cs="Times New Roman"/>
                <w:color w:val="000000"/>
                <w:sz w:val="24"/>
                <w:highlight w:val="none"/>
              </w:rPr>
              <w:t>，dB(A)；</w:t>
            </w:r>
          </w:p>
          <w:p w14:paraId="52B902F2">
            <w:pPr>
              <w:pageBreakBefore w:val="0"/>
              <w:widowControl w:val="0"/>
              <w:kinsoku/>
              <w:wordWrap/>
              <w:overflowPunct/>
              <w:topLinePunct w:val="0"/>
              <w:bidi w:val="0"/>
              <w:snapToGrid w:val="0"/>
              <w:spacing w:beforeLines="0" w:afterLines="0" w:line="360" w:lineRule="auto"/>
              <w:ind w:firstLine="1200" w:firstLineChars="5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r——</w:t>
            </w:r>
            <w:r>
              <w:rPr>
                <w:rFonts w:hint="eastAsia" w:ascii="Times New Roman" w:hAnsi="Times New Roman" w:eastAsia="宋体" w:cs="Times New Roman"/>
                <w:color w:val="000000"/>
                <w:sz w:val="24"/>
                <w:highlight w:val="none"/>
                <w:lang w:eastAsia="zh-CN"/>
              </w:rPr>
              <w:t>声源至受点的</w:t>
            </w:r>
            <w:r>
              <w:rPr>
                <w:rFonts w:hint="default" w:ascii="Times New Roman" w:hAnsi="Times New Roman" w:eastAsia="宋体" w:cs="Times New Roman"/>
                <w:color w:val="000000"/>
                <w:sz w:val="24"/>
                <w:highlight w:val="none"/>
              </w:rPr>
              <w:t>距离，m；</w:t>
            </w:r>
          </w:p>
          <w:p w14:paraId="4D70AB15">
            <w:pPr>
              <w:pageBreakBefore w:val="0"/>
              <w:widowControl w:val="0"/>
              <w:kinsoku/>
              <w:wordWrap/>
              <w:overflowPunct/>
              <w:topLinePunct w:val="0"/>
              <w:bidi w:val="0"/>
              <w:snapToGrid w:val="0"/>
              <w:spacing w:beforeLines="0" w:afterLines="0" w:line="360" w:lineRule="auto"/>
              <w:ind w:firstLine="1200" w:firstLineChars="5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△L</w:t>
            </w:r>
            <w:r>
              <w:rPr>
                <w:rFonts w:hint="default" w:ascii="Times New Roman" w:hAnsi="Times New Roman" w:eastAsia="宋体" w:cs="Times New Roman"/>
                <w:color w:val="000000"/>
                <w:sz w:val="24"/>
                <w:highlight w:val="none"/>
                <w:vertAlign w:val="subscript"/>
              </w:rPr>
              <w:t>A</w:t>
            </w:r>
            <w:r>
              <w:rPr>
                <w:rFonts w:hint="default" w:ascii="Times New Roman" w:hAnsi="Times New Roman" w:eastAsia="宋体" w:cs="Times New Roman"/>
                <w:color w:val="000000"/>
                <w:sz w:val="24"/>
                <w:highlight w:val="none"/>
              </w:rPr>
              <w:t>——因各种因素引起的附加衰减量，dB(A)。</w:t>
            </w:r>
          </w:p>
          <w:p w14:paraId="1C7A2097">
            <w:pPr>
              <w:pStyle w:val="92"/>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rPr>
              <w:t>表</w:t>
            </w:r>
            <w:r>
              <w:rPr>
                <w:rFonts w:hint="eastAsia" w:eastAsia="宋体"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rPr>
              <w:t>-</w:t>
            </w:r>
            <w:r>
              <w:rPr>
                <w:rFonts w:hint="eastAsia" w:eastAsia="宋体" w:cs="Times New Roman"/>
                <w:b/>
                <w:bCs/>
                <w:color w:val="000000"/>
                <w:sz w:val="24"/>
                <w:szCs w:val="24"/>
                <w:highlight w:val="none"/>
                <w:lang w:val="en-US" w:eastAsia="zh-CN"/>
              </w:rPr>
              <w:t>20</w:t>
            </w:r>
            <w:r>
              <w:rPr>
                <w:rFonts w:hint="eastAsia" w:ascii="Times New Roman" w:hAnsi="Times New Roman" w:eastAsia="宋体" w:cs="Times New Roman"/>
                <w:b/>
                <w:bCs/>
                <w:color w:val="000000"/>
                <w:sz w:val="24"/>
                <w:szCs w:val="24"/>
                <w:highlight w:val="none"/>
                <w:lang w:eastAsia="zh-CN"/>
              </w:rPr>
              <w:t>车间隔声的插入损失值</w:t>
            </w:r>
            <w:r>
              <w:rPr>
                <w:rFonts w:hint="eastAsia" w:ascii="Times New Roman" w:hAnsi="Times New Roman" w:eastAsia="宋体" w:cs="Times New Roman"/>
                <w:b/>
                <w:bCs/>
                <w:color w:val="000000"/>
                <w:sz w:val="24"/>
                <w:szCs w:val="24"/>
                <w:highlight w:val="none"/>
                <w:lang w:val="en-US" w:eastAsia="zh-CN"/>
              </w:rPr>
              <w:t xml:space="preserve"> 单位：dB（A）</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565"/>
              <w:gridCol w:w="1565"/>
              <w:gridCol w:w="1565"/>
              <w:gridCol w:w="1565"/>
            </w:tblGrid>
            <w:tr w14:paraId="70DBA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tcBorders>
                    <w:tl2br w:val="nil"/>
                    <w:tr2bl w:val="nil"/>
                  </w:tcBorders>
                  <w:noWrap w:val="0"/>
                  <w:vAlign w:val="center"/>
                </w:tcPr>
                <w:p w14:paraId="6C1788BA">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条件</w:t>
                  </w:r>
                </w:p>
              </w:tc>
              <w:tc>
                <w:tcPr>
                  <w:tcW w:w="1000" w:type="pct"/>
                  <w:tcBorders>
                    <w:tl2br w:val="nil"/>
                    <w:tr2bl w:val="nil"/>
                  </w:tcBorders>
                  <w:noWrap w:val="0"/>
                  <w:vAlign w:val="center"/>
                </w:tcPr>
                <w:p w14:paraId="15977B2C">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A</w:t>
                  </w:r>
                </w:p>
              </w:tc>
              <w:tc>
                <w:tcPr>
                  <w:tcW w:w="1000" w:type="pct"/>
                  <w:tcBorders>
                    <w:tl2br w:val="nil"/>
                    <w:tr2bl w:val="nil"/>
                  </w:tcBorders>
                  <w:noWrap w:val="0"/>
                  <w:vAlign w:val="center"/>
                </w:tcPr>
                <w:p w14:paraId="2482BF1F">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B</w:t>
                  </w:r>
                </w:p>
              </w:tc>
              <w:tc>
                <w:tcPr>
                  <w:tcW w:w="1000" w:type="pct"/>
                  <w:tcBorders>
                    <w:tl2br w:val="nil"/>
                    <w:tr2bl w:val="nil"/>
                  </w:tcBorders>
                  <w:noWrap w:val="0"/>
                  <w:vAlign w:val="center"/>
                </w:tcPr>
                <w:p w14:paraId="074E30C3">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C</w:t>
                  </w:r>
                </w:p>
              </w:tc>
              <w:tc>
                <w:tcPr>
                  <w:tcW w:w="1000" w:type="pct"/>
                  <w:tcBorders>
                    <w:tl2br w:val="nil"/>
                    <w:tr2bl w:val="nil"/>
                  </w:tcBorders>
                  <w:noWrap w:val="0"/>
                  <w:vAlign w:val="center"/>
                </w:tcPr>
                <w:p w14:paraId="301D8BCB">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D</w:t>
                  </w:r>
                </w:p>
              </w:tc>
            </w:tr>
            <w:tr w14:paraId="692F5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tcBorders>
                    <w:tl2br w:val="nil"/>
                    <w:tr2bl w:val="nil"/>
                  </w:tcBorders>
                  <w:noWrap w:val="0"/>
                  <w:vAlign w:val="center"/>
                </w:tcPr>
                <w:p w14:paraId="5CDAE6FC">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rPr>
                    <w:t>△L</w:t>
                  </w:r>
                  <w:r>
                    <w:rPr>
                      <w:rFonts w:hint="default" w:ascii="Times New Roman" w:hAnsi="Times New Roman" w:eastAsia="宋体" w:cs="Times New Roman"/>
                      <w:color w:val="000000"/>
                      <w:sz w:val="21"/>
                      <w:szCs w:val="21"/>
                      <w:highlight w:val="none"/>
                      <w:lang w:eastAsia="zh-CN"/>
                    </w:rPr>
                    <w:t>值</w:t>
                  </w:r>
                </w:p>
              </w:tc>
              <w:tc>
                <w:tcPr>
                  <w:tcW w:w="1000" w:type="pct"/>
                  <w:tcBorders>
                    <w:tl2br w:val="nil"/>
                    <w:tr2bl w:val="nil"/>
                  </w:tcBorders>
                  <w:noWrap w:val="0"/>
                  <w:vAlign w:val="center"/>
                </w:tcPr>
                <w:p w14:paraId="0D4BCC01">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25</w:t>
                  </w:r>
                </w:p>
              </w:tc>
              <w:tc>
                <w:tcPr>
                  <w:tcW w:w="1000" w:type="pct"/>
                  <w:tcBorders>
                    <w:tl2br w:val="nil"/>
                    <w:tr2bl w:val="nil"/>
                  </w:tcBorders>
                  <w:noWrap w:val="0"/>
                  <w:vAlign w:val="center"/>
                </w:tcPr>
                <w:p w14:paraId="4CAE8E5B">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20</w:t>
                  </w:r>
                </w:p>
              </w:tc>
              <w:tc>
                <w:tcPr>
                  <w:tcW w:w="1000" w:type="pct"/>
                  <w:tcBorders>
                    <w:tl2br w:val="nil"/>
                    <w:tr2bl w:val="nil"/>
                  </w:tcBorders>
                  <w:noWrap w:val="0"/>
                  <w:vAlign w:val="center"/>
                </w:tcPr>
                <w:p w14:paraId="175F0EA8">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15</w:t>
                  </w:r>
                </w:p>
              </w:tc>
              <w:tc>
                <w:tcPr>
                  <w:tcW w:w="1000" w:type="pct"/>
                  <w:tcBorders>
                    <w:tl2br w:val="nil"/>
                    <w:tr2bl w:val="nil"/>
                  </w:tcBorders>
                  <w:noWrap w:val="0"/>
                  <w:vAlign w:val="center"/>
                </w:tcPr>
                <w:p w14:paraId="401E7CC4">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10</w:t>
                  </w:r>
                </w:p>
              </w:tc>
            </w:tr>
            <w:tr w14:paraId="00AB8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noWrap w:val="0"/>
                  <w:vAlign w:val="center"/>
                </w:tcPr>
                <w:p w14:paraId="589CD327">
                  <w:pPr>
                    <w:pStyle w:val="9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both"/>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rPr>
                    <w:t>注：A：车间门窗密闭，且经隔声处理；B：车间围墙开小窗且密闭，门经隔声处理；C：车间围墙 开小窗但不密闭，门未经隔声处理，但较密闭；D：车间围墙开大窗且不密闭，门不密闭。</w:t>
                  </w:r>
                </w:p>
              </w:tc>
            </w:tr>
          </w:tbl>
          <w:p w14:paraId="730CF733">
            <w:pPr>
              <w:snapToGrid w:val="0"/>
              <w:spacing w:before="157" w:beforeLines="50" w:line="360" w:lineRule="auto"/>
              <w:ind w:firstLine="480" w:firstLineChars="200"/>
              <w:outlineLvl w:val="9"/>
              <w:rPr>
                <w:rFonts w:hint="default" w:ascii="Times New Roman" w:hAnsi="Times New Roman" w:eastAsia="宋体" w:cs="Times New Roman"/>
                <w:color w:val="000000"/>
                <w:kern w:val="44"/>
                <w:sz w:val="24"/>
                <w:szCs w:val="24"/>
                <w:highlight w:val="none"/>
              </w:rPr>
            </w:pPr>
            <w:r>
              <w:rPr>
                <w:rFonts w:hint="default" w:ascii="Times New Roman" w:hAnsi="Times New Roman" w:eastAsia="宋体" w:cs="Times New Roman"/>
                <w:color w:val="000000"/>
                <w:sz w:val="24"/>
                <w:szCs w:val="24"/>
                <w:highlight w:val="none"/>
              </w:rPr>
              <w:t xml:space="preserve">考虑项目生产过程厂房开小窗但不密闭，门未经隔声处理，但较密闭，等效于C类情况，ΔL值取15dB（A）。 </w:t>
            </w:r>
          </w:p>
          <w:p w14:paraId="4B274234">
            <w:pPr>
              <w:snapToGrid w:val="0"/>
              <w:spacing w:line="360" w:lineRule="auto"/>
              <w:ind w:firstLine="480" w:firstLineChars="200"/>
              <w:outlineLvl w:val="9"/>
              <w:rPr>
                <w:rFonts w:hint="default" w:ascii="Times New Roman" w:hAnsi="Times New Roman" w:eastAsia="宋体" w:cs="Times New Roman"/>
                <w:color w:val="000000"/>
                <w:kern w:val="44"/>
                <w:sz w:val="24"/>
                <w:szCs w:val="24"/>
                <w:highlight w:val="none"/>
              </w:rPr>
            </w:pPr>
            <w:r>
              <w:rPr>
                <w:rFonts w:hint="default" w:ascii="Times New Roman" w:hAnsi="Times New Roman" w:eastAsia="宋体" w:cs="Times New Roman"/>
                <w:color w:val="000000"/>
                <w:kern w:val="44"/>
                <w:sz w:val="24"/>
                <w:szCs w:val="24"/>
                <w:highlight w:val="none"/>
              </w:rPr>
              <w:t>②预测结果与评价</w:t>
            </w:r>
          </w:p>
          <w:p w14:paraId="55E64F1C">
            <w:pPr>
              <w:snapToGrid w:val="0"/>
              <w:spacing w:line="360" w:lineRule="auto"/>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采用上述预测模式，计算得到项目在采取噪声防治措施后，主要高噪声设备对厂界各预测点产生的噪声影响。厂界预测点环境噪声预测结果见</w:t>
            </w:r>
            <w:r>
              <w:rPr>
                <w:rFonts w:hint="default" w:ascii="Times New Roman" w:hAnsi="Times New Roman" w:eastAsia="宋体" w:cs="Times New Roman"/>
                <w:color w:val="000000"/>
                <w:sz w:val="24"/>
                <w:highlight w:val="none"/>
                <w:lang w:eastAsia="zh-CN"/>
              </w:rPr>
              <w:t>下表</w:t>
            </w:r>
            <w:r>
              <w:rPr>
                <w:rFonts w:hint="default" w:ascii="Times New Roman" w:hAnsi="Times New Roman" w:eastAsia="宋体" w:cs="Times New Roman"/>
                <w:color w:val="000000"/>
                <w:sz w:val="24"/>
                <w:highlight w:val="none"/>
              </w:rPr>
              <w:t>。</w:t>
            </w:r>
          </w:p>
          <w:p w14:paraId="750C6274">
            <w:pPr>
              <w:pStyle w:val="2"/>
              <w:rPr>
                <w:rFonts w:hint="default" w:ascii="Times New Roman" w:hAnsi="Times New Roman" w:eastAsia="宋体" w:cs="Times New Roman"/>
                <w:b/>
                <w:bCs w:val="0"/>
                <w:color w:val="000000"/>
                <w:sz w:val="24"/>
                <w:szCs w:val="22"/>
                <w:highlight w:val="none"/>
              </w:rPr>
            </w:pPr>
            <w:r>
              <w:rPr>
                <w:rFonts w:hint="default" w:ascii="Times New Roman" w:hAnsi="Times New Roman" w:eastAsia="宋体" w:cs="Times New Roman"/>
                <w:b/>
                <w:bCs/>
                <w:color w:val="000000"/>
                <w:sz w:val="24"/>
                <w:szCs w:val="24"/>
                <w:highlight w:val="none"/>
              </w:rPr>
              <w:t>表4-</w:t>
            </w:r>
            <w:r>
              <w:rPr>
                <w:rFonts w:hint="eastAsia" w:ascii="Times New Roman" w:hAnsi="Times New Roman" w:eastAsia="宋体" w:cs="Times New Roman"/>
                <w:b/>
                <w:bCs/>
                <w:color w:val="000000"/>
                <w:sz w:val="24"/>
                <w:szCs w:val="24"/>
                <w:highlight w:val="none"/>
                <w:lang w:val="en-US" w:eastAsia="zh-CN"/>
              </w:rPr>
              <w:t>2</w:t>
            </w:r>
            <w:r>
              <w:rPr>
                <w:rFonts w:hint="eastAsia" w:cs="Times New Roman"/>
                <w:b/>
                <w:bCs/>
                <w:color w:val="000000"/>
                <w:sz w:val="24"/>
                <w:szCs w:val="24"/>
                <w:highlight w:val="none"/>
                <w:lang w:val="en-US" w:eastAsia="zh-CN"/>
              </w:rPr>
              <w:t>1</w:t>
            </w:r>
            <w:r>
              <w:rPr>
                <w:rFonts w:hint="default" w:ascii="Times New Roman" w:hAnsi="Times New Roman" w:eastAsia="宋体" w:cs="Times New Roman"/>
                <w:b/>
                <w:bCs w:val="0"/>
                <w:color w:val="000000"/>
                <w:sz w:val="24"/>
                <w:szCs w:val="22"/>
                <w:highlight w:val="none"/>
                <w:lang w:val="en-US" w:eastAsia="zh-CN"/>
              </w:rPr>
              <w:t>项目厂界预测点噪声</w:t>
            </w:r>
            <w:r>
              <w:rPr>
                <w:rFonts w:hint="default" w:ascii="Times New Roman" w:hAnsi="Times New Roman" w:eastAsia="宋体" w:cs="Times New Roman"/>
                <w:b/>
                <w:bCs w:val="0"/>
                <w:color w:val="000000"/>
                <w:sz w:val="24"/>
                <w:szCs w:val="22"/>
                <w:highlight w:val="none"/>
              </w:rPr>
              <w:t>预测计算结果单位：dB(A)</w:t>
            </w:r>
          </w:p>
          <w:tbl>
            <w:tblPr>
              <w:tblStyle w:val="25"/>
              <w:tblW w:w="4994" w:type="pct"/>
              <w:tblInd w:w="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1188"/>
              <w:gridCol w:w="1065"/>
              <w:gridCol w:w="1200"/>
              <w:gridCol w:w="1110"/>
              <w:gridCol w:w="1259"/>
            </w:tblGrid>
            <w:tr w14:paraId="45E1B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pct"/>
                  <w:noWrap w:val="0"/>
                  <w:vAlign w:val="center"/>
                </w:tcPr>
                <w:p w14:paraId="4C9DAEDD">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预测点位</w:t>
                  </w:r>
                </w:p>
              </w:tc>
              <w:tc>
                <w:tcPr>
                  <w:tcW w:w="759" w:type="pct"/>
                  <w:noWrap w:val="0"/>
                  <w:vAlign w:val="center"/>
                </w:tcPr>
                <w:p w14:paraId="3B99C295">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贡献值</w:t>
                  </w:r>
                </w:p>
              </w:tc>
              <w:tc>
                <w:tcPr>
                  <w:tcW w:w="681" w:type="pct"/>
                  <w:noWrap w:val="0"/>
                  <w:vAlign w:val="center"/>
                </w:tcPr>
                <w:p w14:paraId="4BEC1CE1">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背景</w:t>
                  </w:r>
                  <w:r>
                    <w:rPr>
                      <w:rFonts w:hint="eastAsia" w:ascii="Times New Roman" w:hAnsi="Times New Roman" w:eastAsia="宋体" w:cs="Times New Roman"/>
                      <w:color w:val="auto"/>
                      <w:sz w:val="21"/>
                      <w:szCs w:val="21"/>
                      <w:highlight w:val="none"/>
                      <w:lang w:eastAsia="zh-CN"/>
                    </w:rPr>
                    <w:t>值</w:t>
                  </w:r>
                </w:p>
              </w:tc>
              <w:tc>
                <w:tcPr>
                  <w:tcW w:w="767" w:type="pct"/>
                  <w:noWrap w:val="0"/>
                  <w:vAlign w:val="center"/>
                </w:tcPr>
                <w:p w14:paraId="1D93A68A">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预测值</w:t>
                  </w:r>
                </w:p>
              </w:tc>
              <w:tc>
                <w:tcPr>
                  <w:tcW w:w="709" w:type="pct"/>
                  <w:noWrap w:val="0"/>
                  <w:vAlign w:val="center"/>
                </w:tcPr>
                <w:p w14:paraId="342C72E4">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805" w:type="pct"/>
                  <w:noWrap w:val="0"/>
                  <w:vAlign w:val="center"/>
                </w:tcPr>
                <w:p w14:paraId="31997C0A">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14:paraId="105E0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pct"/>
                  <w:noWrap w:val="0"/>
                  <w:vAlign w:val="center"/>
                </w:tcPr>
                <w:p w14:paraId="54F3A9D7">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东侧厂界</w:t>
                  </w:r>
                  <w:r>
                    <w:rPr>
                      <w:rFonts w:hint="eastAsia" w:ascii="Times New Roman" w:hAnsi="Times New Roman" w:eastAsia="宋体" w:cs="Times New Roman"/>
                      <w:color w:val="auto"/>
                      <w:sz w:val="21"/>
                      <w:szCs w:val="21"/>
                      <w:highlight w:val="none"/>
                      <w:lang w:eastAsia="zh-CN"/>
                    </w:rPr>
                    <w:t>（昼间）</w:t>
                  </w:r>
                </w:p>
              </w:tc>
              <w:tc>
                <w:tcPr>
                  <w:tcW w:w="759" w:type="pct"/>
                  <w:noWrap w:val="0"/>
                  <w:vAlign w:val="center"/>
                </w:tcPr>
                <w:p w14:paraId="0ACF1B38">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52.2</w:t>
                  </w:r>
                </w:p>
              </w:tc>
              <w:tc>
                <w:tcPr>
                  <w:tcW w:w="681" w:type="pct"/>
                  <w:noWrap w:val="0"/>
                  <w:vAlign w:val="center"/>
                </w:tcPr>
                <w:p w14:paraId="6F60313F">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55.8</w:t>
                  </w:r>
                </w:p>
              </w:tc>
              <w:tc>
                <w:tcPr>
                  <w:tcW w:w="767" w:type="pct"/>
                  <w:noWrap w:val="0"/>
                  <w:vAlign w:val="center"/>
                </w:tcPr>
                <w:p w14:paraId="3A485A6F">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60.7</w:t>
                  </w:r>
                </w:p>
              </w:tc>
              <w:tc>
                <w:tcPr>
                  <w:tcW w:w="709" w:type="pct"/>
                  <w:noWrap w:val="0"/>
                  <w:vAlign w:val="center"/>
                </w:tcPr>
                <w:p w14:paraId="0BE94935">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805" w:type="pct"/>
                  <w:noWrap w:val="0"/>
                  <w:vAlign w:val="center"/>
                </w:tcPr>
                <w:p w14:paraId="00CD71E9">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达标</w:t>
                  </w:r>
                </w:p>
              </w:tc>
            </w:tr>
            <w:tr w14:paraId="2BC89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pct"/>
                  <w:noWrap w:val="0"/>
                  <w:vAlign w:val="center"/>
                </w:tcPr>
                <w:p w14:paraId="63AE56AE">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北侧厂界</w:t>
                  </w:r>
                  <w:r>
                    <w:rPr>
                      <w:rFonts w:hint="eastAsia" w:ascii="Times New Roman" w:hAnsi="Times New Roman" w:eastAsia="宋体" w:cs="Times New Roman"/>
                      <w:color w:val="auto"/>
                      <w:sz w:val="21"/>
                      <w:szCs w:val="21"/>
                      <w:highlight w:val="none"/>
                      <w:lang w:eastAsia="zh-CN"/>
                    </w:rPr>
                    <w:t>（昼间）</w:t>
                  </w:r>
                </w:p>
              </w:tc>
              <w:tc>
                <w:tcPr>
                  <w:tcW w:w="759" w:type="pct"/>
                  <w:noWrap w:val="0"/>
                  <w:vAlign w:val="center"/>
                </w:tcPr>
                <w:p w14:paraId="1F228AE8">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51.6</w:t>
                  </w:r>
                </w:p>
              </w:tc>
              <w:tc>
                <w:tcPr>
                  <w:tcW w:w="681" w:type="pct"/>
                  <w:noWrap w:val="0"/>
                  <w:vAlign w:val="center"/>
                </w:tcPr>
                <w:p w14:paraId="673A8443">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55.3</w:t>
                  </w:r>
                </w:p>
              </w:tc>
              <w:tc>
                <w:tcPr>
                  <w:tcW w:w="767" w:type="pct"/>
                  <w:noWrap w:val="0"/>
                  <w:vAlign w:val="center"/>
                </w:tcPr>
                <w:p w14:paraId="27EDE908">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58.1</w:t>
                  </w:r>
                </w:p>
              </w:tc>
              <w:tc>
                <w:tcPr>
                  <w:tcW w:w="709" w:type="pct"/>
                  <w:noWrap w:val="0"/>
                  <w:vAlign w:val="center"/>
                </w:tcPr>
                <w:p w14:paraId="03867BC1">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805" w:type="pct"/>
                  <w:noWrap w:val="0"/>
                  <w:vAlign w:val="center"/>
                </w:tcPr>
                <w:p w14:paraId="4B8C0911">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达标</w:t>
                  </w:r>
                </w:p>
              </w:tc>
            </w:tr>
            <w:tr w14:paraId="4A91D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pct"/>
                  <w:noWrap w:val="0"/>
                  <w:vAlign w:val="center"/>
                </w:tcPr>
                <w:p w14:paraId="0EFEC6B0">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西侧厂界</w:t>
                  </w:r>
                  <w:r>
                    <w:rPr>
                      <w:rFonts w:hint="eastAsia" w:ascii="Times New Roman" w:hAnsi="Times New Roman" w:eastAsia="宋体" w:cs="Times New Roman"/>
                      <w:color w:val="auto"/>
                      <w:sz w:val="21"/>
                      <w:szCs w:val="21"/>
                      <w:highlight w:val="none"/>
                      <w:lang w:eastAsia="zh-CN"/>
                    </w:rPr>
                    <w:t>（昼间）</w:t>
                  </w:r>
                </w:p>
              </w:tc>
              <w:tc>
                <w:tcPr>
                  <w:tcW w:w="759" w:type="pct"/>
                  <w:noWrap w:val="0"/>
                  <w:vAlign w:val="center"/>
                </w:tcPr>
                <w:p w14:paraId="788B2C35">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49.5</w:t>
                  </w:r>
                </w:p>
              </w:tc>
              <w:tc>
                <w:tcPr>
                  <w:tcW w:w="681" w:type="pct"/>
                  <w:noWrap w:val="0"/>
                  <w:vAlign w:val="center"/>
                </w:tcPr>
                <w:p w14:paraId="101EEE67">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56.2</w:t>
                  </w:r>
                </w:p>
              </w:tc>
              <w:tc>
                <w:tcPr>
                  <w:tcW w:w="767" w:type="pct"/>
                  <w:noWrap w:val="0"/>
                  <w:vAlign w:val="center"/>
                </w:tcPr>
                <w:p w14:paraId="2C7389AB">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59.5</w:t>
                  </w:r>
                </w:p>
              </w:tc>
              <w:tc>
                <w:tcPr>
                  <w:tcW w:w="709" w:type="pct"/>
                  <w:noWrap w:val="0"/>
                  <w:vAlign w:val="center"/>
                </w:tcPr>
                <w:p w14:paraId="18DC429F">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805" w:type="pct"/>
                  <w:noWrap w:val="0"/>
                  <w:vAlign w:val="center"/>
                </w:tcPr>
                <w:p w14:paraId="3FAA5058">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达标</w:t>
                  </w:r>
                </w:p>
              </w:tc>
            </w:tr>
            <w:tr w14:paraId="4F919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pct"/>
                  <w:noWrap w:val="0"/>
                  <w:vAlign w:val="center"/>
                </w:tcPr>
                <w:p w14:paraId="3940A12C">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南侧厂界</w:t>
                  </w:r>
                  <w:r>
                    <w:rPr>
                      <w:rFonts w:hint="eastAsia" w:ascii="Times New Roman" w:hAnsi="Times New Roman" w:eastAsia="宋体" w:cs="Times New Roman"/>
                      <w:color w:val="auto"/>
                      <w:sz w:val="21"/>
                      <w:szCs w:val="21"/>
                      <w:highlight w:val="none"/>
                      <w:lang w:eastAsia="zh-CN"/>
                    </w:rPr>
                    <w:t>（昼间）</w:t>
                  </w:r>
                </w:p>
              </w:tc>
              <w:tc>
                <w:tcPr>
                  <w:tcW w:w="759" w:type="pct"/>
                  <w:noWrap w:val="0"/>
                  <w:vAlign w:val="center"/>
                </w:tcPr>
                <w:p w14:paraId="3AC18FCB">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45.1</w:t>
                  </w:r>
                </w:p>
              </w:tc>
              <w:tc>
                <w:tcPr>
                  <w:tcW w:w="681" w:type="pct"/>
                  <w:noWrap w:val="0"/>
                  <w:vAlign w:val="center"/>
                </w:tcPr>
                <w:p w14:paraId="23D50492">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56.6</w:t>
                  </w:r>
                </w:p>
              </w:tc>
              <w:tc>
                <w:tcPr>
                  <w:tcW w:w="767" w:type="pct"/>
                  <w:noWrap w:val="0"/>
                  <w:vAlign w:val="center"/>
                </w:tcPr>
                <w:p w14:paraId="47BBF932">
                  <w:pPr>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56.3</w:t>
                  </w:r>
                </w:p>
              </w:tc>
              <w:tc>
                <w:tcPr>
                  <w:tcW w:w="709" w:type="pct"/>
                  <w:noWrap w:val="0"/>
                  <w:vAlign w:val="center"/>
                </w:tcPr>
                <w:p w14:paraId="13E7587F">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805" w:type="pct"/>
                  <w:noWrap w:val="0"/>
                  <w:vAlign w:val="center"/>
                </w:tcPr>
                <w:p w14:paraId="19586151">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w:t>
                  </w:r>
                </w:p>
              </w:tc>
            </w:tr>
          </w:tbl>
          <w:p w14:paraId="3D52BAB3">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right="0" w:firstLine="480" w:firstLineChars="200"/>
              <w:jc w:val="both"/>
              <w:textAlignment w:val="auto"/>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val="en-US" w:eastAsia="zh-CN"/>
              </w:rPr>
              <w:t>根据</w:t>
            </w:r>
            <w:r>
              <w:rPr>
                <w:rFonts w:hint="default" w:ascii="Times New Roman" w:hAnsi="Times New Roman" w:eastAsia="宋体" w:cs="Times New Roman"/>
                <w:color w:val="000000"/>
                <w:sz w:val="24"/>
                <w:szCs w:val="24"/>
                <w:highlight w:val="none"/>
                <w:lang w:eastAsia="zh-CN"/>
              </w:rPr>
              <w:t>上</w:t>
            </w:r>
            <w:r>
              <w:rPr>
                <w:rFonts w:hint="default" w:ascii="Times New Roman" w:hAnsi="Times New Roman" w:eastAsia="宋体" w:cs="Times New Roman"/>
                <w:color w:val="000000"/>
                <w:sz w:val="24"/>
                <w:szCs w:val="24"/>
                <w:highlight w:val="none"/>
              </w:rPr>
              <w:t>表预测结果可知，</w:t>
            </w:r>
            <w:r>
              <w:rPr>
                <w:rFonts w:hint="default" w:ascii="Times New Roman" w:hAnsi="Times New Roman" w:eastAsia="宋体" w:cs="Times New Roman"/>
                <w:color w:val="000000"/>
                <w:highlight w:val="none"/>
              </w:rPr>
              <w:t>项目</w:t>
            </w:r>
            <w:r>
              <w:rPr>
                <w:rFonts w:hint="eastAsia" w:ascii="Times New Roman" w:hAnsi="Times New Roman" w:eastAsia="宋体" w:cs="Times New Roman"/>
                <w:color w:val="000000"/>
                <w:highlight w:val="none"/>
                <w:lang w:eastAsia="zh-CN"/>
              </w:rPr>
              <w:t>生产运营期间关闭门窗、采用隔声减振措施后，</w:t>
            </w:r>
            <w:r>
              <w:rPr>
                <w:rFonts w:hint="default" w:ascii="Times New Roman" w:hAnsi="Times New Roman" w:eastAsia="宋体" w:cs="Times New Roman"/>
                <w:color w:val="000000"/>
                <w:sz w:val="24"/>
                <w:szCs w:val="24"/>
                <w:highlight w:val="none"/>
              </w:rPr>
              <w:t>厂界噪声贡献值低于GB12348-2008《工业企业厂界环境噪声排放标准》</w:t>
            </w:r>
            <w:r>
              <w:rPr>
                <w:rFonts w:hint="default"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类标准</w:t>
            </w:r>
            <w:r>
              <w:rPr>
                <w:rFonts w:hint="eastAsia" w:ascii="Times New Roman" w:hAnsi="Times New Roman" w:eastAsia="宋体" w:cs="Times New Roman"/>
                <w:color w:val="000000"/>
                <w:sz w:val="24"/>
                <w:szCs w:val="24"/>
                <w:highlight w:val="none"/>
                <w:lang w:eastAsia="zh-CN"/>
              </w:rPr>
              <w:t>，项目生产过程对周边声环境影响较小，建设单位在加强自身生产管理，严格落实噪声防治措施后，确保厂界噪声达标排放。</w:t>
            </w:r>
          </w:p>
          <w:p w14:paraId="0246A216">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3.3</w:t>
            </w:r>
            <w:r>
              <w:rPr>
                <w:rFonts w:hint="default" w:ascii="Times New Roman" w:hAnsi="Times New Roman" w:eastAsia="宋体" w:cs="Times New Roman"/>
                <w:b/>
                <w:bCs/>
                <w:color w:val="auto"/>
                <w:sz w:val="24"/>
                <w:szCs w:val="24"/>
                <w:highlight w:val="none"/>
                <w:lang w:eastAsia="zh-CN"/>
              </w:rPr>
              <w:t>噪声监测要求</w:t>
            </w:r>
          </w:p>
          <w:p w14:paraId="277FE451">
            <w:pPr>
              <w:widowControl w:val="0"/>
              <w:adjustRightInd w:val="0"/>
              <w:snapToGrid w:val="0"/>
              <w:spacing w:line="360" w:lineRule="auto"/>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lang w:eastAsia="zh-CN"/>
              </w:rPr>
              <w:t>项目噪声</w:t>
            </w:r>
            <w:r>
              <w:rPr>
                <w:rFonts w:hint="default" w:ascii="Times New Roman" w:hAnsi="Times New Roman" w:eastAsia="宋体" w:cs="Times New Roman"/>
                <w:color w:val="auto"/>
                <w:sz w:val="24"/>
                <w:szCs w:val="24"/>
                <w:highlight w:val="none"/>
              </w:rPr>
              <w:t>监测</w:t>
            </w:r>
            <w:r>
              <w:rPr>
                <w:rFonts w:hint="default" w:ascii="Times New Roman" w:hAnsi="Times New Roman" w:eastAsia="宋体" w:cs="Times New Roman"/>
                <w:color w:val="auto"/>
                <w:sz w:val="24"/>
                <w:szCs w:val="24"/>
                <w:highlight w:val="none"/>
                <w:lang w:eastAsia="zh-CN"/>
              </w:rPr>
              <w:t>要求</w:t>
            </w:r>
            <w:r>
              <w:rPr>
                <w:rFonts w:hint="default" w:ascii="Times New Roman" w:hAnsi="Times New Roman" w:eastAsia="宋体" w:cs="Times New Roman"/>
                <w:color w:val="auto"/>
                <w:sz w:val="24"/>
                <w:szCs w:val="24"/>
                <w:highlight w:val="none"/>
              </w:rPr>
              <w:t>应参考</w:t>
            </w:r>
            <w:r>
              <w:rPr>
                <w:rFonts w:hint="default" w:ascii="Times New Roman" w:hAnsi="Times New Roman" w:eastAsia="宋体" w:cs="Times New Roman"/>
                <w:color w:val="000000"/>
                <w:sz w:val="24"/>
                <w:szCs w:val="24"/>
                <w:highlight w:val="none"/>
                <w:lang w:val="en-US" w:eastAsia="zh-CN"/>
              </w:rPr>
              <w:t>HJ1</w:t>
            </w:r>
            <w:r>
              <w:rPr>
                <w:rFonts w:hint="eastAsia" w:ascii="Times New Roman" w:hAnsi="Times New Roman" w:eastAsia="宋体" w:cs="Times New Roman"/>
                <w:color w:val="000000"/>
                <w:sz w:val="24"/>
                <w:szCs w:val="24"/>
                <w:highlight w:val="none"/>
                <w:lang w:val="en-US" w:eastAsia="zh-CN"/>
              </w:rPr>
              <w:t>066</w:t>
            </w:r>
            <w:r>
              <w:rPr>
                <w:rFonts w:hint="default" w:ascii="Times New Roman" w:hAnsi="Times New Roman" w:eastAsia="宋体" w:cs="Times New Roman"/>
                <w:color w:val="000000"/>
                <w:sz w:val="24"/>
                <w:szCs w:val="24"/>
                <w:highlight w:val="none"/>
                <w:lang w:val="en-US" w:eastAsia="zh-CN"/>
              </w:rPr>
              <w:t>—20</w:t>
            </w:r>
            <w:r>
              <w:rPr>
                <w:rFonts w:hint="eastAsia" w:ascii="Times New Roman" w:hAnsi="Times New Roman" w:eastAsia="宋体" w:cs="Times New Roman"/>
                <w:color w:val="000000"/>
                <w:sz w:val="24"/>
                <w:szCs w:val="24"/>
                <w:highlight w:val="none"/>
                <w:lang w:val="en-US" w:eastAsia="zh-CN"/>
              </w:rPr>
              <w:t>19</w:t>
            </w:r>
            <w:r>
              <w:rPr>
                <w:rFonts w:hint="default" w:ascii="Times New Roman" w:hAnsi="Times New Roman" w:eastAsia="宋体" w:cs="Times New Roman"/>
                <w:color w:val="000000"/>
                <w:sz w:val="24"/>
                <w:szCs w:val="24"/>
                <w:highlight w:val="none"/>
                <w:lang w:val="en-US" w:eastAsia="zh-CN"/>
              </w:rPr>
              <w:t xml:space="preserve">《排污许可证申请与核发技术规范 </w:t>
            </w:r>
            <w:r>
              <w:rPr>
                <w:rFonts w:hint="eastAsia" w:ascii="Times New Roman" w:hAnsi="Times New Roman" w:eastAsia="宋体" w:cs="Times New Roman"/>
                <w:color w:val="000000"/>
                <w:sz w:val="24"/>
                <w:szCs w:val="24"/>
                <w:highlight w:val="none"/>
                <w:lang w:val="en-US" w:eastAsia="zh-CN"/>
              </w:rPr>
              <w:t>印刷工业</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HJ</w:t>
            </w:r>
            <w:r>
              <w:rPr>
                <w:rFonts w:hint="eastAsia" w:ascii="Times New Roman" w:hAnsi="Times New Roman" w:eastAsia="宋体" w:cs="Times New Roman"/>
                <w:color w:val="auto"/>
                <w:sz w:val="24"/>
                <w:szCs w:val="24"/>
                <w:highlight w:val="none"/>
                <w:lang w:val="en-US" w:eastAsia="zh-CN"/>
              </w:rPr>
              <w:t>819</w:t>
            </w:r>
            <w:r>
              <w:rPr>
                <w:rFonts w:hint="default" w:ascii="Times New Roman" w:hAnsi="Times New Roman" w:eastAsia="宋体" w:cs="Times New Roman"/>
                <w:color w:val="auto"/>
                <w:sz w:val="24"/>
                <w:szCs w:val="24"/>
                <w:highlight w:val="none"/>
                <w:lang w:val="en-US" w:eastAsia="zh-CN"/>
              </w:rPr>
              <w:t>-201</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《排污</w:t>
            </w:r>
            <w:r>
              <w:rPr>
                <w:rFonts w:hint="eastAsia" w:ascii="Times New Roman" w:hAnsi="Times New Roman" w:eastAsia="宋体" w:cs="Times New Roman"/>
                <w:color w:val="auto"/>
                <w:sz w:val="24"/>
                <w:szCs w:val="24"/>
                <w:highlight w:val="none"/>
                <w:lang w:val="en-US" w:eastAsia="zh-CN"/>
              </w:rPr>
              <w:t>单位自行监测技术指南 总则</w:t>
            </w:r>
            <w:r>
              <w:rPr>
                <w:rFonts w:hint="default" w:ascii="Times New Roman" w:hAnsi="Times New Roman" w:eastAsia="宋体" w:cs="Times New Roman"/>
                <w:color w:val="auto"/>
                <w:sz w:val="24"/>
                <w:szCs w:val="24"/>
                <w:highlight w:val="none"/>
                <w:lang w:val="en-US" w:eastAsia="zh-CN"/>
              </w:rPr>
              <w:t>》，具体见下表</w:t>
            </w:r>
            <w:r>
              <w:rPr>
                <w:rFonts w:hint="default" w:ascii="Times New Roman" w:hAnsi="Times New Roman" w:eastAsia="宋体" w:cs="Times New Roman"/>
                <w:color w:val="auto"/>
                <w:sz w:val="24"/>
                <w:szCs w:val="24"/>
                <w:highlight w:val="none"/>
              </w:rPr>
              <w:t>。</w:t>
            </w:r>
          </w:p>
          <w:p w14:paraId="6B4AA649">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lang w:val="en-US" w:eastAsia="zh-CN"/>
              </w:rPr>
              <w:t>2</w:t>
            </w:r>
            <w:r>
              <w:rPr>
                <w:rFonts w:hint="eastAsia"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lang w:eastAsia="zh-CN"/>
              </w:rPr>
              <w:t>噪声常规</w:t>
            </w:r>
            <w:r>
              <w:rPr>
                <w:rFonts w:hint="default" w:ascii="Times New Roman" w:hAnsi="Times New Roman" w:eastAsia="宋体" w:cs="Times New Roman"/>
                <w:b/>
                <w:color w:val="auto"/>
                <w:sz w:val="24"/>
                <w:szCs w:val="24"/>
                <w:highlight w:val="none"/>
              </w:rPr>
              <w:t>监测</w:t>
            </w:r>
            <w:r>
              <w:rPr>
                <w:rFonts w:hint="default" w:ascii="Times New Roman" w:hAnsi="Times New Roman" w:eastAsia="宋体" w:cs="Times New Roman"/>
                <w:b/>
                <w:color w:val="auto"/>
                <w:sz w:val="24"/>
                <w:szCs w:val="24"/>
                <w:highlight w:val="none"/>
                <w:lang w:eastAsia="zh-CN"/>
              </w:rPr>
              <w:t>要求内容</w:t>
            </w:r>
            <w:r>
              <w:rPr>
                <w:rFonts w:hint="default" w:ascii="Times New Roman" w:hAnsi="Times New Roman" w:eastAsia="宋体" w:cs="Times New Roman"/>
                <w:b/>
                <w:color w:val="auto"/>
                <w:sz w:val="24"/>
                <w:szCs w:val="24"/>
                <w:highlight w:val="none"/>
              </w:rPr>
              <w:t>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108" w:type="dxa"/>
                <w:bottom w:w="0" w:type="dxa"/>
                <w:right w:w="108" w:type="dxa"/>
              </w:tblCellMar>
            </w:tblPr>
            <w:tblGrid>
              <w:gridCol w:w="1222"/>
              <w:gridCol w:w="1462"/>
              <w:gridCol w:w="1373"/>
              <w:gridCol w:w="1545"/>
              <w:gridCol w:w="2220"/>
            </w:tblGrid>
            <w:tr w14:paraId="0E548CFA">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81" w:type="pct"/>
                  <w:noWrap w:val="0"/>
                  <w:vAlign w:val="center"/>
                </w:tcPr>
                <w:p w14:paraId="310708E4">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934" w:type="pct"/>
                  <w:noWrap w:val="0"/>
                  <w:vAlign w:val="center"/>
                </w:tcPr>
                <w:p w14:paraId="1BC0405D">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监测内容</w:t>
                  </w:r>
                </w:p>
              </w:tc>
              <w:tc>
                <w:tcPr>
                  <w:tcW w:w="877" w:type="pct"/>
                  <w:noWrap w:val="0"/>
                  <w:vAlign w:val="center"/>
                </w:tcPr>
                <w:p w14:paraId="6EC61D8E">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987" w:type="pct"/>
                  <w:noWrap w:val="0"/>
                  <w:vAlign w:val="center"/>
                </w:tcPr>
                <w:p w14:paraId="301144C5">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w:t>
                  </w:r>
                </w:p>
              </w:tc>
              <w:tc>
                <w:tcPr>
                  <w:tcW w:w="1418" w:type="pct"/>
                  <w:noWrap w:val="0"/>
                  <w:vAlign w:val="center"/>
                </w:tcPr>
                <w:p w14:paraId="2AF61AEF">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监测单位</w:t>
                  </w:r>
                </w:p>
              </w:tc>
            </w:tr>
            <w:tr w14:paraId="6B3BA37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781" w:type="pct"/>
                  <w:noWrap w:val="0"/>
                  <w:vAlign w:val="center"/>
                </w:tcPr>
                <w:p w14:paraId="3FEADBE4">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934" w:type="pct"/>
                  <w:noWrap w:val="0"/>
                  <w:vAlign w:val="center"/>
                </w:tcPr>
                <w:p w14:paraId="5CF710FC">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Aeq</w:t>
                  </w:r>
                  <w:r>
                    <w:rPr>
                      <w:rFonts w:hint="default" w:ascii="Times New Roman" w:hAnsi="Times New Roman" w:eastAsia="宋体" w:cs="Times New Roman"/>
                      <w:color w:val="auto"/>
                      <w:sz w:val="21"/>
                      <w:szCs w:val="21"/>
                      <w:highlight w:val="none"/>
                    </w:rPr>
                    <w:t>（dB）</w:t>
                  </w:r>
                </w:p>
              </w:tc>
              <w:tc>
                <w:tcPr>
                  <w:tcW w:w="877" w:type="pct"/>
                  <w:noWrap w:val="0"/>
                  <w:vAlign w:val="center"/>
                </w:tcPr>
                <w:p w14:paraId="78074936">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w:t>
                  </w:r>
                  <w:r>
                    <w:rPr>
                      <w:rFonts w:hint="default" w:ascii="Times New Roman" w:hAnsi="Times New Roman" w:eastAsia="宋体" w:cs="Times New Roman"/>
                      <w:color w:val="auto"/>
                      <w:sz w:val="21"/>
                      <w:szCs w:val="21"/>
                      <w:highlight w:val="none"/>
                      <w:lang w:eastAsia="zh-CN"/>
                    </w:rPr>
                    <w:t>季度</w:t>
                  </w:r>
                </w:p>
              </w:tc>
              <w:tc>
                <w:tcPr>
                  <w:tcW w:w="987" w:type="pct"/>
                  <w:noWrap w:val="0"/>
                  <w:vAlign w:val="center"/>
                </w:tcPr>
                <w:p w14:paraId="0E6D7810">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厂界</w:t>
                  </w:r>
                  <w:r>
                    <w:rPr>
                      <w:rFonts w:hint="eastAsia" w:ascii="Times New Roman" w:hAnsi="Times New Roman" w:eastAsia="宋体" w:cs="Times New Roman"/>
                      <w:color w:val="auto"/>
                      <w:sz w:val="21"/>
                      <w:szCs w:val="21"/>
                      <w:highlight w:val="none"/>
                      <w:lang w:eastAsia="zh-CN"/>
                    </w:rPr>
                    <w:t>、敏感点</w:t>
                  </w:r>
                </w:p>
              </w:tc>
              <w:tc>
                <w:tcPr>
                  <w:tcW w:w="1418" w:type="pct"/>
                  <w:noWrap w:val="0"/>
                  <w:vAlign w:val="center"/>
                </w:tcPr>
                <w:p w14:paraId="1AE28758">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委托有</w:t>
                  </w:r>
                  <w:r>
                    <w:rPr>
                      <w:rFonts w:hint="eastAsia" w:ascii="Times New Roman" w:hAnsi="Times New Roman" w:eastAsia="宋体"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lang w:eastAsia="zh-CN"/>
                    </w:rPr>
                    <w:t>资质单位</w:t>
                  </w:r>
                </w:p>
              </w:tc>
            </w:tr>
          </w:tbl>
          <w:p w14:paraId="1D6BCA5C">
            <w:pPr>
              <w:pStyle w:val="56"/>
              <w:keepNext w:val="0"/>
              <w:keepLines w:val="0"/>
              <w:pageBreakBefore w:val="0"/>
              <w:widowControl w:val="0"/>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4.4固废</w:t>
            </w:r>
          </w:p>
          <w:p w14:paraId="523BC2C8">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1"/>
              <w:rPr>
                <w:rFonts w:hint="default" w:ascii="Times New Roman" w:hAnsi="Times New Roman" w:eastAsia="宋体" w:cs="Times New Roman"/>
                <w:b/>
                <w:bCs/>
                <w:color w:val="auto"/>
                <w:kern w:val="2"/>
                <w:sz w:val="24"/>
                <w:szCs w:val="24"/>
                <w:highlight w:val="none"/>
                <w:lang w:val="zh-CN" w:eastAsia="zh-CN" w:bidi="ar-SA"/>
              </w:rPr>
            </w:pPr>
            <w:r>
              <w:rPr>
                <w:rFonts w:hint="default" w:ascii="Times New Roman" w:hAnsi="Times New Roman" w:eastAsia="宋体" w:cs="Times New Roman"/>
                <w:b/>
                <w:bCs/>
                <w:color w:val="auto"/>
                <w:kern w:val="2"/>
                <w:sz w:val="24"/>
                <w:szCs w:val="24"/>
                <w:highlight w:val="none"/>
                <w:lang w:val="en-US" w:eastAsia="zh-CN" w:bidi="ar-SA"/>
              </w:rPr>
              <w:t>4.4.1固废源强分析</w:t>
            </w:r>
          </w:p>
          <w:p w14:paraId="1FFA1607">
            <w:pPr>
              <w:keepNext w:val="0"/>
              <w:keepLines w:val="0"/>
              <w:pageBreakBefore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一般固体废物</w:t>
            </w:r>
          </w:p>
          <w:p w14:paraId="0A14F6D2">
            <w:pPr>
              <w:keepNext w:val="0"/>
              <w:keepLines w:val="0"/>
              <w:pageBreakBefore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废</w:t>
            </w:r>
            <w:r>
              <w:rPr>
                <w:rFonts w:hint="eastAsia" w:ascii="Times New Roman" w:hAnsi="Times New Roman" w:eastAsia="宋体" w:cs="Times New Roman"/>
                <w:color w:val="auto"/>
                <w:sz w:val="24"/>
                <w:szCs w:val="24"/>
                <w:highlight w:val="none"/>
                <w:lang w:val="en-US" w:eastAsia="zh-CN"/>
              </w:rPr>
              <w:t>次品</w:t>
            </w:r>
          </w:p>
          <w:p w14:paraId="4A8E150C">
            <w:pPr>
              <w:keepNext w:val="0"/>
              <w:keepLines w:val="0"/>
              <w:pageBreakBefore w:val="0"/>
              <w:kinsoku/>
              <w:wordWrap/>
              <w:overflowPunct/>
              <w:topLinePunct w:val="0"/>
              <w:autoSpaceDE/>
              <w:autoSpaceDN/>
              <w:bidi w:val="0"/>
              <w:spacing w:line="360" w:lineRule="auto"/>
              <w:ind w:lef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eastAsia="宋体"/>
                <w:sz w:val="24"/>
                <w:szCs w:val="24"/>
                <w:highlight w:val="none"/>
              </w:rPr>
              <w:t>根据企业提供资料，项目废次品</w:t>
            </w:r>
            <w:r>
              <w:rPr>
                <w:rFonts w:hint="eastAsia" w:ascii="Times New Roman" w:eastAsia="宋体"/>
                <w:sz w:val="24"/>
                <w:szCs w:val="24"/>
                <w:highlight w:val="none"/>
                <w:lang w:eastAsia="zh-CN"/>
              </w:rPr>
              <w:t>为丝印过程产生的废丝印次品，</w:t>
            </w:r>
            <w:r>
              <w:rPr>
                <w:rFonts w:hint="eastAsia" w:ascii="Times New Roman" w:eastAsia="宋体"/>
                <w:sz w:val="24"/>
                <w:szCs w:val="24"/>
                <w:highlight w:val="none"/>
              </w:rPr>
              <w:t>产生量为1t</w:t>
            </w:r>
            <w:r>
              <w:rPr>
                <w:rFonts w:hint="eastAsia"/>
                <w:sz w:val="24"/>
                <w:szCs w:val="24"/>
                <w:highlight w:val="none"/>
                <w:lang w:val="en-US" w:eastAsia="zh-CN"/>
              </w:rPr>
              <w:t>/</w:t>
            </w:r>
            <w:r>
              <w:rPr>
                <w:rFonts w:hint="eastAsia" w:ascii="Times New Roman" w:eastAsia="宋体"/>
                <w:sz w:val="24"/>
                <w:szCs w:val="24"/>
                <w:highlight w:val="none"/>
              </w:rPr>
              <w:t>a，废次品属于一般固体废物，</w:t>
            </w:r>
            <w:r>
              <w:rPr>
                <w:rFonts w:hint="eastAsia"/>
                <w:kern w:val="1"/>
                <w:sz w:val="24"/>
                <w:szCs w:val="22"/>
                <w:highlight w:val="none"/>
              </w:rPr>
              <w:t>属于“</w:t>
            </w:r>
            <w:r>
              <w:rPr>
                <w:sz w:val="24"/>
                <w:szCs w:val="24"/>
                <w:highlight w:val="none"/>
              </w:rPr>
              <w:t>SW</w:t>
            </w:r>
            <w:r>
              <w:rPr>
                <w:rFonts w:hint="eastAsia"/>
                <w:sz w:val="24"/>
                <w:szCs w:val="24"/>
                <w:highlight w:val="none"/>
              </w:rPr>
              <w:t>17可再生类废物</w:t>
            </w:r>
            <w:r>
              <w:rPr>
                <w:sz w:val="24"/>
                <w:szCs w:val="24"/>
                <w:highlight w:val="none"/>
              </w:rPr>
              <w:t>900-0</w:t>
            </w:r>
            <w:r>
              <w:rPr>
                <w:rFonts w:hint="eastAsia"/>
                <w:sz w:val="24"/>
                <w:szCs w:val="24"/>
                <w:highlight w:val="none"/>
              </w:rPr>
              <w:t>99</w:t>
            </w:r>
            <w:r>
              <w:rPr>
                <w:sz w:val="24"/>
                <w:szCs w:val="24"/>
                <w:highlight w:val="none"/>
              </w:rPr>
              <w:t>-S</w:t>
            </w:r>
            <w:r>
              <w:rPr>
                <w:rFonts w:hint="eastAsia"/>
                <w:sz w:val="24"/>
                <w:szCs w:val="24"/>
                <w:highlight w:val="none"/>
              </w:rPr>
              <w:t>17其他可再生类废物</w:t>
            </w:r>
            <w:r>
              <w:rPr>
                <w:rFonts w:hint="eastAsia"/>
                <w:kern w:val="1"/>
                <w:sz w:val="24"/>
                <w:szCs w:val="22"/>
                <w:highlight w:val="none"/>
              </w:rPr>
              <w:t>”，分类代码为</w:t>
            </w:r>
            <w:r>
              <w:rPr>
                <w:rFonts w:hint="eastAsia"/>
                <w:sz w:val="24"/>
                <w:szCs w:val="24"/>
                <w:highlight w:val="none"/>
              </w:rPr>
              <w:t>900</w:t>
            </w:r>
            <w:r>
              <w:rPr>
                <w:sz w:val="24"/>
                <w:szCs w:val="24"/>
                <w:highlight w:val="none"/>
              </w:rPr>
              <w:t>-0</w:t>
            </w:r>
            <w:r>
              <w:rPr>
                <w:rFonts w:hint="eastAsia"/>
                <w:sz w:val="24"/>
                <w:szCs w:val="24"/>
                <w:highlight w:val="none"/>
              </w:rPr>
              <w:t>99</w:t>
            </w:r>
            <w:r>
              <w:rPr>
                <w:sz w:val="24"/>
                <w:szCs w:val="24"/>
                <w:highlight w:val="none"/>
              </w:rPr>
              <w:t>-</w:t>
            </w:r>
            <w:r>
              <w:rPr>
                <w:rFonts w:hint="eastAsia"/>
                <w:sz w:val="24"/>
                <w:szCs w:val="24"/>
                <w:highlight w:val="none"/>
              </w:rPr>
              <w:t>S17</w:t>
            </w:r>
            <w:r>
              <w:rPr>
                <w:rFonts w:hint="eastAsia"/>
                <w:kern w:val="1"/>
                <w:sz w:val="24"/>
                <w:szCs w:val="22"/>
                <w:highlight w:val="none"/>
              </w:rPr>
              <w:t>。</w:t>
            </w:r>
            <w:r>
              <w:rPr>
                <w:rFonts w:hint="eastAsia" w:ascii="Times New Roman" w:eastAsia="宋体"/>
                <w:sz w:val="24"/>
                <w:szCs w:val="24"/>
                <w:highlight w:val="none"/>
              </w:rPr>
              <w:t>废次品收集后由物资单位进行回收</w:t>
            </w:r>
            <w:r>
              <w:rPr>
                <w:rFonts w:hint="default" w:ascii="Times New Roman" w:hAnsi="Times New Roman" w:cs="Times New Roman"/>
                <w:color w:val="auto"/>
                <w:sz w:val="24"/>
                <w:szCs w:val="24"/>
                <w:highlight w:val="none"/>
                <w:lang w:val="en-US" w:eastAsia="zh-CN"/>
              </w:rPr>
              <w:t>。</w:t>
            </w:r>
          </w:p>
          <w:p w14:paraId="774D380C">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sz w:val="24"/>
                <w:szCs w:val="24"/>
                <w:highlight w:val="none"/>
                <w:lang w:eastAsia="zh-CN"/>
              </w:rPr>
            </w:pP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2</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原料空桶</w:t>
            </w:r>
          </w:p>
          <w:p w14:paraId="5CC07CF2">
            <w:pPr>
              <w:pStyle w:val="16"/>
              <w:spacing w:beforeLines="0" w:line="360" w:lineRule="auto"/>
              <w:ind w:firstLine="480" w:firstLineChars="200"/>
              <w:rPr>
                <w:rFonts w:hint="default" w:ascii="Times New Roman" w:hAnsi="Times New Roman" w:eastAsia="宋体" w:cs="Times New Roman"/>
                <w:color w:val="000000"/>
                <w:kern w:val="1"/>
                <w:sz w:val="24"/>
                <w:szCs w:val="22"/>
                <w:highlight w:val="none"/>
              </w:rPr>
            </w:pPr>
            <w:r>
              <w:rPr>
                <w:rFonts w:hint="eastAsia" w:ascii="Times New Roman" w:hAnsi="Times New Roman" w:eastAsia="宋体" w:cs="Times New Roman"/>
                <w:color w:val="000000"/>
                <w:kern w:val="1"/>
                <w:sz w:val="24"/>
                <w:szCs w:val="22"/>
                <w:highlight w:val="none"/>
                <w:lang w:eastAsia="zh-CN"/>
              </w:rPr>
              <w:t>根据企业提供资料可知，项目</w:t>
            </w:r>
            <w:r>
              <w:rPr>
                <w:rFonts w:hint="eastAsia" w:ascii="Times New Roman" w:hAnsi="Times New Roman" w:eastAsia="宋体" w:cs="Times New Roman"/>
                <w:color w:val="000000"/>
                <w:kern w:val="1"/>
                <w:sz w:val="24"/>
                <w:szCs w:val="22"/>
                <w:highlight w:val="none"/>
                <w:lang w:val="en-US" w:eastAsia="zh-CN"/>
              </w:rPr>
              <w:t>胶浆、固浆、色种等</w:t>
            </w:r>
            <w:r>
              <w:rPr>
                <w:rFonts w:hint="eastAsia" w:ascii="Times New Roman" w:hAnsi="Times New Roman" w:eastAsia="宋体" w:cs="Times New Roman"/>
                <w:color w:val="000000"/>
                <w:kern w:val="1"/>
                <w:sz w:val="24"/>
                <w:szCs w:val="22"/>
                <w:highlight w:val="none"/>
                <w:lang w:eastAsia="zh-CN"/>
              </w:rPr>
              <w:t>原料空桶每年产生量约为</w:t>
            </w:r>
            <w:r>
              <w:rPr>
                <w:rFonts w:hint="eastAsia" w:ascii="Times New Roman" w:hAnsi="Times New Roman" w:eastAsia="宋体" w:cs="Times New Roman"/>
                <w:color w:val="000000"/>
                <w:kern w:val="1"/>
                <w:sz w:val="24"/>
                <w:szCs w:val="22"/>
                <w:highlight w:val="none"/>
                <w:lang w:val="en-US" w:eastAsia="zh-CN"/>
              </w:rPr>
              <w:t>400个</w:t>
            </w:r>
            <w:r>
              <w:rPr>
                <w:rFonts w:hint="eastAsia" w:ascii="Times New Roman" w:eastAsia="宋体" w:cs="Times New Roman"/>
                <w:color w:val="000000"/>
                <w:kern w:val="1"/>
                <w:sz w:val="24"/>
                <w:szCs w:val="22"/>
                <w:highlight w:val="none"/>
                <w:lang w:val="en-US" w:eastAsia="zh-CN"/>
              </w:rPr>
              <w:t>（0.4t/a）</w:t>
            </w:r>
            <w:r>
              <w:rPr>
                <w:rFonts w:hint="default" w:ascii="Times New Roman" w:hAnsi="Times New Roman" w:eastAsia="宋体" w:cs="Times New Roman"/>
                <w:color w:val="000000"/>
                <w:kern w:val="1"/>
                <w:sz w:val="24"/>
                <w:szCs w:val="22"/>
                <w:highlight w:val="none"/>
              </w:rPr>
              <w:t>。根据GB34330-2017《固体废物鉴别标准——通则》：任何不需要修复和加工即可用于其原始</w:t>
            </w:r>
            <w:r>
              <w:rPr>
                <w:rFonts w:hint="default" w:ascii="Times New Roman" w:hAnsi="Times New Roman" w:eastAsia="宋体" w:cs="Times New Roman"/>
                <w:color w:val="000000"/>
                <w:sz w:val="24"/>
                <w:highlight w:val="none"/>
              </w:rPr>
              <w:t>用途的物质，或者在产生点经过修复和加工后满足国家、地方制定或行业通行的产品质量标准并且用于其原始用途的物质不作为固体废物管理。项目</w:t>
            </w:r>
            <w:r>
              <w:rPr>
                <w:rFonts w:hint="default" w:ascii="Times New Roman" w:hAnsi="Times New Roman" w:eastAsia="宋体" w:cs="Times New Roman"/>
                <w:color w:val="000000"/>
                <w:kern w:val="1"/>
                <w:sz w:val="24"/>
                <w:szCs w:val="22"/>
                <w:highlight w:val="none"/>
              </w:rPr>
              <w:t>使用后的原料空桶均为专桶专用，使用后由厂家配送原料的同时带回原厂重新充装，按照GB34330-2017《固体废物鉴别标准——通则》规定可不作为固废管理。</w:t>
            </w:r>
          </w:p>
          <w:p w14:paraId="29B1D5C3">
            <w:pPr>
              <w:pStyle w:val="16"/>
              <w:spacing w:beforeLines="0" w:line="360" w:lineRule="auto"/>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项目</w:t>
            </w:r>
            <w:r>
              <w:rPr>
                <w:rFonts w:hint="default" w:ascii="Times New Roman" w:hAnsi="Times New Roman" w:eastAsia="宋体" w:cs="Times New Roman"/>
                <w:color w:val="000000"/>
                <w:kern w:val="1"/>
                <w:sz w:val="24"/>
                <w:szCs w:val="22"/>
                <w:highlight w:val="none"/>
              </w:rPr>
              <w:t>使用后的原料空桶若交付生产</w:t>
            </w:r>
            <w:r>
              <w:rPr>
                <w:rFonts w:hint="eastAsia" w:ascii="Times New Roman" w:hAnsi="Times New Roman" w:eastAsia="宋体" w:cs="Times New Roman"/>
                <w:color w:val="000000"/>
                <w:kern w:val="1"/>
                <w:sz w:val="24"/>
                <w:szCs w:val="22"/>
                <w:highlight w:val="none"/>
                <w:lang w:val="en-US" w:eastAsia="zh-CN"/>
              </w:rPr>
              <w:t>厂家</w:t>
            </w:r>
            <w:r>
              <w:rPr>
                <w:rFonts w:hint="default" w:ascii="Times New Roman" w:hAnsi="Times New Roman" w:eastAsia="宋体" w:cs="Times New Roman"/>
                <w:color w:val="000000"/>
                <w:kern w:val="1"/>
                <w:sz w:val="24"/>
                <w:szCs w:val="22"/>
                <w:highlight w:val="none"/>
              </w:rPr>
              <w:t>用于其原始用途，可不作为固废管理，但不得遗弃、另用及改变其原始用途，否则，将应按危废要求交付有危废处置资质的单位进行收集、贮存、转移、处置。建设单位</w:t>
            </w:r>
            <w:r>
              <w:rPr>
                <w:rFonts w:hint="default" w:ascii="Times New Roman" w:hAnsi="Times New Roman" w:eastAsia="宋体" w:cs="Times New Roman"/>
                <w:color w:val="000000"/>
                <w:sz w:val="24"/>
                <w:highlight w:val="none"/>
              </w:rPr>
              <w:t>拟在</w:t>
            </w:r>
            <w:r>
              <w:rPr>
                <w:rFonts w:hint="eastAsia" w:ascii="Times New Roman" w:hAnsi="Times New Roman" w:eastAsia="宋体" w:cs="Times New Roman"/>
                <w:color w:val="000000"/>
                <w:sz w:val="24"/>
                <w:highlight w:val="none"/>
                <w:lang w:val="en-US" w:eastAsia="zh-CN"/>
              </w:rPr>
              <w:t>1F</w:t>
            </w:r>
            <w:r>
              <w:rPr>
                <w:rFonts w:hint="default" w:ascii="Times New Roman" w:hAnsi="Times New Roman" w:eastAsia="宋体" w:cs="Times New Roman"/>
                <w:color w:val="000000"/>
                <w:sz w:val="24"/>
                <w:highlight w:val="none"/>
              </w:rPr>
              <w:t>建设一个</w:t>
            </w:r>
            <w:r>
              <w:rPr>
                <w:rFonts w:hint="eastAsia" w:ascii="Times New Roman" w:hAnsi="Times New Roman" w:eastAsia="宋体" w:cs="Times New Roman"/>
                <w:color w:val="000000"/>
                <w:sz w:val="24"/>
                <w:highlight w:val="none"/>
                <w:lang w:val="en-US" w:eastAsia="zh-CN"/>
              </w:rPr>
              <w:t>15</w:t>
            </w:r>
            <w:r>
              <w:rPr>
                <w:rFonts w:hint="default" w:ascii="Times New Roman" w:hAnsi="Times New Roman" w:eastAsia="宋体" w:cs="Times New Roman"/>
                <w:color w:val="000000"/>
                <w:sz w:val="24"/>
                <w:highlight w:val="none"/>
              </w:rPr>
              <w:t>m</w:t>
            </w:r>
            <w:r>
              <w:rPr>
                <w:rFonts w:hint="default" w:ascii="Times New Roman" w:hAnsi="Times New Roman" w:eastAsia="宋体" w:cs="Times New Roman"/>
                <w:color w:val="000000"/>
                <w:sz w:val="24"/>
                <w:highlight w:val="none"/>
                <w:vertAlign w:val="superscript"/>
              </w:rPr>
              <w:t>2</w:t>
            </w:r>
            <w:r>
              <w:rPr>
                <w:rFonts w:hint="default" w:ascii="Times New Roman" w:hAnsi="Times New Roman" w:eastAsia="宋体" w:cs="Times New Roman"/>
                <w:color w:val="000000"/>
                <w:sz w:val="24"/>
                <w:highlight w:val="none"/>
              </w:rPr>
              <w:t>的危废暂存间，项目原料空桶经收集后暂存于危废贮存间，定期由生产厂家负责回收用于原始用途，并保留凭证。</w:t>
            </w:r>
          </w:p>
          <w:p w14:paraId="5942D0CE">
            <w:pPr>
              <w:pStyle w:val="16"/>
              <w:spacing w:beforeLines="0" w:line="360" w:lineRule="auto"/>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sz w:val="24"/>
                <w:szCs w:val="24"/>
              </w:rPr>
              <w:t>其中，考虑项目在运营过程中空桶会破损、变形，破损、变形的空桶产生量按空桶产生量的10%计，则破损、变形的</w:t>
            </w:r>
            <w:r>
              <w:rPr>
                <w:rFonts w:hint="eastAsia" w:ascii="Times New Roman" w:hAnsi="Times New Roman" w:eastAsia="宋体" w:cs="Times New Roman"/>
                <w:sz w:val="24"/>
                <w:szCs w:val="24"/>
                <w:lang w:eastAsia="zh-CN"/>
              </w:rPr>
              <w:t>原料</w:t>
            </w:r>
            <w:r>
              <w:rPr>
                <w:rFonts w:hint="default" w:ascii="Times New Roman" w:hAnsi="Times New Roman" w:eastAsia="宋体" w:cs="Times New Roman"/>
                <w:sz w:val="24"/>
                <w:szCs w:val="24"/>
              </w:rPr>
              <w:t>空桶产生量</w:t>
            </w:r>
            <w:r>
              <w:rPr>
                <w:rFonts w:hint="eastAsia" w:ascii="Times New Roman" w:hAnsi="Times New Roman" w:eastAsia="宋体" w:cs="Times New Roman"/>
                <w:sz w:val="24"/>
                <w:szCs w:val="24"/>
                <w:lang w:eastAsia="zh-CN"/>
              </w:rPr>
              <w:t>约</w:t>
            </w:r>
            <w:r>
              <w:rPr>
                <w:rFonts w:hint="eastAsia" w:ascii="Times New Roman" w:hAnsi="Times New Roman" w:eastAsia="宋体" w:cs="Times New Roman"/>
                <w:sz w:val="24"/>
                <w:szCs w:val="24"/>
                <w:lang w:val="en-US" w:eastAsia="zh-CN"/>
              </w:rPr>
              <w:t>40个（</w:t>
            </w:r>
            <w:r>
              <w:rPr>
                <w:rFonts w:hint="default" w:ascii="Times New Roman" w:hAnsi="Times New Roman" w:eastAsia="宋体" w:cs="Times New Roman"/>
                <w:sz w:val="24"/>
                <w:szCs w:val="24"/>
              </w:rPr>
              <w:t>0.0</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t/a</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，属于危险废物，危废类别为：HW49（其他废物），废物代码：900-041-49。破损、变形的</w:t>
            </w:r>
            <w:r>
              <w:rPr>
                <w:rFonts w:hint="eastAsia" w:ascii="Times New Roman" w:hAnsi="Times New Roman" w:eastAsia="宋体" w:cs="Times New Roman"/>
                <w:sz w:val="24"/>
                <w:szCs w:val="24"/>
                <w:lang w:eastAsia="zh-CN"/>
              </w:rPr>
              <w:t>原料</w:t>
            </w:r>
            <w:r>
              <w:rPr>
                <w:rFonts w:hint="default" w:ascii="Times New Roman" w:hAnsi="Times New Roman" w:eastAsia="宋体" w:cs="Times New Roman"/>
                <w:sz w:val="24"/>
                <w:szCs w:val="24"/>
              </w:rPr>
              <w:t>空桶集中收集后，暂存于危废暂存间，并定期委托有危废资质单位处置。</w:t>
            </w:r>
          </w:p>
          <w:p w14:paraId="279CF712">
            <w:pPr>
              <w:pStyle w:val="16"/>
              <w:spacing w:beforeLines="0" w:line="360" w:lineRule="auto"/>
              <w:ind w:firstLine="480" w:firstLineChars="200"/>
              <w:rPr>
                <w:rFonts w:hint="eastAsia" w:ascii="Times New Roman" w:hAnsi="Times New Roman" w:eastAsia="宋体" w:cs="Times New Roman"/>
                <w:color w:val="000000"/>
                <w:sz w:val="24"/>
                <w:highlight w:val="none"/>
                <w:lang w:eastAsia="zh-CN"/>
              </w:rPr>
            </w:pPr>
            <w:r>
              <w:rPr>
                <w:rFonts w:hint="eastAsia" w:ascii="Times New Roman" w:eastAsia="宋体" w:cs="Times New Roman"/>
                <w:color w:val="000000"/>
                <w:sz w:val="24"/>
                <w:highlight w:val="none"/>
                <w:lang w:eastAsia="zh-CN"/>
              </w:rPr>
              <w:t>（</w:t>
            </w:r>
            <w:r>
              <w:rPr>
                <w:rFonts w:hint="eastAsia" w:ascii="Times New Roman" w:eastAsia="宋体" w:cs="Times New Roman"/>
                <w:color w:val="000000"/>
                <w:sz w:val="24"/>
                <w:highlight w:val="none"/>
                <w:lang w:val="en-US" w:eastAsia="zh-CN"/>
              </w:rPr>
              <w:t>3</w:t>
            </w:r>
            <w:r>
              <w:rPr>
                <w:rFonts w:hint="eastAsia" w:ascii="Times New Roman" w:eastAsia="宋体" w:cs="Times New Roman"/>
                <w:color w:val="000000"/>
                <w:sz w:val="24"/>
                <w:highlight w:val="none"/>
                <w:lang w:eastAsia="zh-CN"/>
              </w:rPr>
              <w:t>）危险废物</w:t>
            </w:r>
          </w:p>
          <w:p w14:paraId="7696C318">
            <w:pPr>
              <w:pStyle w:val="16"/>
              <w:spacing w:beforeLines="0" w:line="360" w:lineRule="auto"/>
              <w:ind w:firstLine="480" w:firstLineChars="200"/>
              <w:rPr>
                <w:rFonts w:hint="eastAsia" w:ascii="Times New Roman" w:hAnsi="Times New Roman" w:eastAsia="宋体" w:cs="Times New Roman"/>
                <w:color w:val="000000"/>
                <w:sz w:val="24"/>
                <w:highlight w:val="none"/>
                <w:lang w:eastAsia="zh-CN"/>
              </w:rPr>
            </w:pPr>
            <w:r>
              <w:rPr>
                <w:rFonts w:hint="eastAsia" w:ascii="Times New Roman" w:eastAsia="宋体" w:cs="Times New Roman"/>
                <w:color w:val="000000"/>
                <w:sz w:val="24"/>
                <w:highlight w:val="none"/>
                <w:lang w:eastAsia="zh-CN"/>
              </w:rPr>
              <w:t>①</w:t>
            </w:r>
            <w:r>
              <w:rPr>
                <w:rFonts w:hint="eastAsia" w:ascii="Times New Roman" w:hAnsi="Times New Roman" w:eastAsia="宋体" w:cs="Times New Roman"/>
                <w:color w:val="000000"/>
                <w:sz w:val="24"/>
                <w:highlight w:val="none"/>
                <w:lang w:eastAsia="zh-CN"/>
              </w:rPr>
              <w:t>废菲林片</w:t>
            </w:r>
          </w:p>
          <w:p w14:paraId="5F03E8EC">
            <w:pPr>
              <w:pStyle w:val="16"/>
              <w:spacing w:beforeLines="0" w:line="360" w:lineRule="auto"/>
              <w:ind w:firstLine="480" w:firstLineChars="200"/>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z w:val="24"/>
                <w:highlight w:val="none"/>
                <w:lang w:eastAsia="zh-CN"/>
              </w:rPr>
              <w:t>项目菲林片均委托其他企业定做，不自行制做菲林片。更换图案后，须重新制作网版，并重新定做菲林片，而老旧的菲林片将被废弃，产生废菲林片，产生量约为0.</w:t>
            </w:r>
            <w:r>
              <w:rPr>
                <w:rFonts w:hint="eastAsia" w:ascii="Times New Roman" w:hAnsi="Times New Roman" w:eastAsia="宋体" w:cs="Times New Roman"/>
                <w:color w:val="000000"/>
                <w:sz w:val="24"/>
                <w:highlight w:val="none"/>
                <w:lang w:val="en-US" w:eastAsia="zh-CN"/>
              </w:rPr>
              <w:t>1</w:t>
            </w:r>
            <w:r>
              <w:rPr>
                <w:rFonts w:hint="eastAsia" w:ascii="Times New Roman" w:hAnsi="Times New Roman" w:eastAsia="宋体" w:cs="Times New Roman"/>
                <w:color w:val="000000"/>
                <w:sz w:val="24"/>
                <w:highlight w:val="none"/>
                <w:lang w:eastAsia="zh-CN"/>
              </w:rPr>
              <w:t>t</w:t>
            </w:r>
            <w:r>
              <w:rPr>
                <w:rFonts w:hint="eastAsia" w:ascii="Times New Roman" w:hAnsi="Times New Roman" w:eastAsia="宋体" w:cs="Times New Roman"/>
                <w:color w:val="000000"/>
                <w:sz w:val="24"/>
                <w:highlight w:val="none"/>
                <w:lang w:val="en-US" w:eastAsia="zh-CN"/>
              </w:rPr>
              <w:t>/</w:t>
            </w:r>
            <w:r>
              <w:rPr>
                <w:rFonts w:hint="eastAsia" w:ascii="Times New Roman" w:hAnsi="Times New Roman" w:eastAsia="宋体" w:cs="Times New Roman"/>
                <w:color w:val="000000"/>
                <w:sz w:val="24"/>
                <w:highlight w:val="none"/>
                <w:lang w:eastAsia="zh-CN"/>
              </w:rPr>
              <w:t>a。根据《国家危险废物名录（2021</w:t>
            </w:r>
            <w:r>
              <w:rPr>
                <w:rFonts w:hint="eastAsia" w:ascii="Times New Roman" w:eastAsia="宋体" w:cs="Times New Roman"/>
                <w:color w:val="000000"/>
                <w:sz w:val="24"/>
                <w:highlight w:val="none"/>
                <w:lang w:eastAsia="zh-CN"/>
              </w:rPr>
              <w:t>年版</w:t>
            </w:r>
            <w:r>
              <w:rPr>
                <w:rFonts w:hint="eastAsia" w:ascii="Times New Roman" w:hAnsi="Times New Roman" w:eastAsia="宋体" w:cs="Times New Roman"/>
                <w:color w:val="000000"/>
                <w:sz w:val="24"/>
                <w:highlight w:val="none"/>
                <w:lang w:eastAsia="zh-CN"/>
              </w:rPr>
              <w:t>）》，项目度菲林片属于危险物HW16感光材料废物废物代码为 231-002-16（使用显影剂进行印刷显影、抗蚀图形显影，以及凸版印刷产生的废显（定）影剂、胶片和度像纸）。</w:t>
            </w:r>
          </w:p>
          <w:p w14:paraId="4698D687">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sz w:val="24"/>
                <w:szCs w:val="24"/>
                <w:highlight w:val="none"/>
                <w:lang w:eastAsia="zh-CN"/>
              </w:rPr>
            </w:pPr>
            <w:r>
              <w:rPr>
                <w:rFonts w:hint="eastAsia" w:cs="Times New Roman"/>
                <w:color w:val="000000"/>
                <w:sz w:val="24"/>
                <w:szCs w:val="24"/>
                <w:highlight w:val="none"/>
                <w:lang w:eastAsia="zh-CN"/>
              </w:rPr>
              <w:t>②</w:t>
            </w:r>
            <w:r>
              <w:rPr>
                <w:rFonts w:hint="eastAsia" w:ascii="Times New Roman" w:hAnsi="Times New Roman" w:eastAsia="宋体" w:cs="Times New Roman"/>
                <w:color w:val="000000"/>
                <w:sz w:val="24"/>
                <w:szCs w:val="24"/>
                <w:highlight w:val="none"/>
                <w:lang w:eastAsia="zh-CN"/>
              </w:rPr>
              <w:t>废丝印版框</w:t>
            </w:r>
          </w:p>
          <w:p w14:paraId="77066089">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z w:val="24"/>
                <w:szCs w:val="24"/>
                <w:highlight w:val="none"/>
                <w:lang w:eastAsia="zh-CN"/>
              </w:rPr>
              <w:t>项目更换丝印图案后会淘汰旧的丝印版框，产生量约为</w:t>
            </w:r>
            <w:r>
              <w:rPr>
                <w:rFonts w:hint="eastAsia" w:ascii="Times New Roman" w:hAnsi="Times New Roman" w:eastAsia="宋体" w:cs="Times New Roman"/>
                <w:color w:val="000000"/>
                <w:sz w:val="24"/>
                <w:szCs w:val="24"/>
                <w:highlight w:val="none"/>
                <w:lang w:val="en-US" w:eastAsia="zh-CN"/>
              </w:rPr>
              <w:t>0.2t/a，</w:t>
            </w:r>
            <w:r>
              <w:rPr>
                <w:rFonts w:hint="eastAsia" w:ascii="Times New Roman" w:hAnsi="Times New Roman" w:eastAsia="宋体" w:cs="Times New Roman"/>
                <w:color w:val="000000"/>
                <w:sz w:val="24"/>
                <w:highlight w:val="none"/>
                <w:lang w:eastAsia="zh-CN"/>
              </w:rPr>
              <w:t>根据《国家危险废物名录（2021</w:t>
            </w:r>
            <w:r>
              <w:rPr>
                <w:rFonts w:hint="eastAsia" w:cs="Times New Roman"/>
                <w:color w:val="000000"/>
                <w:sz w:val="24"/>
                <w:highlight w:val="none"/>
                <w:lang w:eastAsia="zh-CN"/>
              </w:rPr>
              <w:t>年版</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szCs w:val="24"/>
                <w:highlight w:val="none"/>
                <w:lang w:val="en-US" w:eastAsia="zh-CN"/>
              </w:rPr>
              <w:t>废丝印版框属于危险废物</w:t>
            </w:r>
            <w:r>
              <w:rPr>
                <w:rFonts w:hint="eastAsia" w:ascii="Times New Roman" w:hAnsi="Times New Roman" w:eastAsia="宋体" w:cs="Times New Roman"/>
                <w:color w:val="000000"/>
                <w:sz w:val="24"/>
                <w:highlight w:val="none"/>
                <w:lang w:eastAsia="zh-CN"/>
              </w:rPr>
              <w:t>HW16感光材料废物废物代码为 231-002-16（使用显影剂进行印刷显影、抗蚀图形显影，以及凸版印刷产生的废显（定）影剂、胶片和度像纸）。</w:t>
            </w:r>
          </w:p>
          <w:p w14:paraId="01A51594">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sz w:val="24"/>
                <w:highlight w:val="none"/>
                <w:lang w:eastAsia="zh-CN"/>
              </w:rPr>
            </w:pPr>
            <w:r>
              <w:rPr>
                <w:rFonts w:hint="eastAsia" w:cs="Times New Roman"/>
                <w:color w:val="000000"/>
                <w:sz w:val="24"/>
                <w:highlight w:val="none"/>
                <w:lang w:eastAsia="zh-CN"/>
              </w:rPr>
              <w:t>③</w:t>
            </w:r>
            <w:r>
              <w:rPr>
                <w:rFonts w:hint="eastAsia" w:ascii="Times New Roman" w:hAnsi="Times New Roman" w:eastAsia="宋体" w:cs="Times New Roman"/>
                <w:color w:val="000000"/>
                <w:sz w:val="24"/>
                <w:highlight w:val="none"/>
                <w:lang w:eastAsia="zh-CN"/>
              </w:rPr>
              <w:t>沉淀污泥</w:t>
            </w:r>
          </w:p>
          <w:p w14:paraId="031F7AA9">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z w:val="24"/>
                <w:highlight w:val="none"/>
                <w:lang w:eastAsia="zh-CN"/>
              </w:rPr>
              <w:t>项目生产废水经沉淀后会产生沉淀污泥。项目生产废水产生量约为</w:t>
            </w:r>
            <w:r>
              <w:rPr>
                <w:rFonts w:hint="eastAsia" w:cs="Times New Roman"/>
                <w:color w:val="000000"/>
                <w:sz w:val="24"/>
                <w:highlight w:val="none"/>
                <w:lang w:val="en-US" w:eastAsia="zh-CN"/>
              </w:rPr>
              <w:t>810</w:t>
            </w:r>
            <w:r>
              <w:rPr>
                <w:rFonts w:hint="eastAsia" w:ascii="Times New Roman" w:hAnsi="Times New Roman" w:eastAsia="宋体" w:cs="Times New Roman"/>
                <w:color w:val="000000"/>
                <w:sz w:val="24"/>
                <w:highlight w:val="none"/>
                <w:lang w:val="en-US" w:eastAsia="zh-CN"/>
              </w:rPr>
              <w:t>t/</w:t>
            </w:r>
            <w:r>
              <w:rPr>
                <w:rFonts w:hint="eastAsia" w:ascii="Times New Roman" w:hAnsi="Times New Roman" w:eastAsia="宋体" w:cs="Times New Roman"/>
                <w:color w:val="000000"/>
                <w:sz w:val="24"/>
                <w:highlight w:val="none"/>
                <w:lang w:eastAsia="zh-CN"/>
              </w:rPr>
              <w:t>a，废水处理前SS浓度为</w:t>
            </w:r>
            <w:r>
              <w:rPr>
                <w:rFonts w:hint="eastAsia" w:cs="Times New Roman"/>
                <w:color w:val="000000"/>
                <w:sz w:val="24"/>
                <w:highlight w:val="none"/>
                <w:lang w:val="en-US" w:eastAsia="zh-CN"/>
              </w:rPr>
              <w:t>95</w:t>
            </w:r>
            <w:r>
              <w:rPr>
                <w:rFonts w:hint="eastAsia" w:ascii="Times New Roman" w:hAnsi="Times New Roman" w:eastAsia="宋体" w:cs="Times New Roman"/>
                <w:color w:val="000000"/>
                <w:sz w:val="24"/>
                <w:highlight w:val="none"/>
                <w:lang w:eastAsia="zh-CN"/>
              </w:rPr>
              <w:t>mg</w:t>
            </w:r>
            <w:r>
              <w:rPr>
                <w:rFonts w:hint="eastAsia" w:ascii="Times New Roman" w:hAnsi="Times New Roman" w:eastAsia="宋体" w:cs="Times New Roman"/>
                <w:color w:val="000000"/>
                <w:sz w:val="24"/>
                <w:highlight w:val="none"/>
                <w:lang w:val="en-US" w:eastAsia="zh-CN"/>
              </w:rPr>
              <w:t>/L</w:t>
            </w:r>
            <w:r>
              <w:rPr>
                <w:rFonts w:hint="eastAsia" w:ascii="Times New Roman" w:hAnsi="Times New Roman" w:eastAsia="宋体" w:cs="Times New Roman"/>
                <w:color w:val="000000"/>
                <w:sz w:val="24"/>
                <w:highlight w:val="none"/>
                <w:lang w:eastAsia="zh-CN"/>
              </w:rPr>
              <w:t>。处理后浓度为</w:t>
            </w:r>
            <w:r>
              <w:rPr>
                <w:rFonts w:hint="eastAsia" w:cs="Times New Roman"/>
                <w:color w:val="000000"/>
                <w:sz w:val="24"/>
                <w:highlight w:val="none"/>
                <w:lang w:val="en-US" w:eastAsia="zh-CN"/>
              </w:rPr>
              <w:t>40</w:t>
            </w:r>
            <w:r>
              <w:rPr>
                <w:rFonts w:hint="eastAsia" w:ascii="Times New Roman" w:hAnsi="Times New Roman" w:eastAsia="宋体" w:cs="Times New Roman"/>
                <w:color w:val="000000"/>
                <w:sz w:val="24"/>
                <w:highlight w:val="none"/>
                <w:lang w:eastAsia="zh-CN"/>
              </w:rPr>
              <w:t>mg</w:t>
            </w:r>
            <w:r>
              <w:rPr>
                <w:rFonts w:hint="eastAsia" w:ascii="Times New Roman" w:hAnsi="Times New Roman" w:eastAsia="宋体" w:cs="Times New Roman"/>
                <w:color w:val="000000"/>
                <w:sz w:val="24"/>
                <w:highlight w:val="none"/>
                <w:lang w:val="en-US" w:eastAsia="zh-CN"/>
              </w:rPr>
              <w:t>/</w:t>
            </w:r>
            <w:r>
              <w:rPr>
                <w:rFonts w:hint="eastAsia" w:ascii="Times New Roman" w:hAnsi="Times New Roman" w:eastAsia="宋体" w:cs="Times New Roman"/>
                <w:color w:val="000000"/>
                <w:sz w:val="24"/>
                <w:highlight w:val="none"/>
                <w:lang w:eastAsia="zh-CN"/>
              </w:rPr>
              <w:t>L，则项目沉淀污泥产生量为</w:t>
            </w:r>
            <w:r>
              <w:rPr>
                <w:rFonts w:hint="eastAsia" w:cs="Times New Roman"/>
                <w:color w:val="000000"/>
                <w:sz w:val="24"/>
                <w:highlight w:val="none"/>
                <w:lang w:val="en-US" w:eastAsia="zh-CN"/>
              </w:rPr>
              <w:t>0.0446</w:t>
            </w:r>
            <w:r>
              <w:rPr>
                <w:rFonts w:hint="eastAsia" w:ascii="Times New Roman" w:hAnsi="Times New Roman" w:eastAsia="宋体" w:cs="Times New Roman"/>
                <w:color w:val="000000"/>
                <w:sz w:val="24"/>
                <w:highlight w:val="none"/>
                <w:lang w:eastAsia="zh-CN"/>
              </w:rPr>
              <w:t>t</w:t>
            </w:r>
            <w:r>
              <w:rPr>
                <w:rFonts w:hint="eastAsia" w:ascii="Times New Roman" w:hAnsi="Times New Roman" w:eastAsia="宋体" w:cs="Times New Roman"/>
                <w:color w:val="000000"/>
                <w:sz w:val="24"/>
                <w:highlight w:val="none"/>
                <w:lang w:val="en-US" w:eastAsia="zh-CN"/>
              </w:rPr>
              <w:t>/</w:t>
            </w:r>
            <w:r>
              <w:rPr>
                <w:rFonts w:hint="eastAsia" w:ascii="Times New Roman" w:hAnsi="Times New Roman" w:eastAsia="宋体" w:cs="Times New Roman"/>
                <w:color w:val="000000"/>
                <w:sz w:val="24"/>
                <w:highlight w:val="none"/>
                <w:lang w:eastAsia="zh-CN"/>
              </w:rPr>
              <w:t>a，其含水率约80%，实际沉淀污泥产生量为</w:t>
            </w:r>
            <w:r>
              <w:rPr>
                <w:rFonts w:hint="eastAsia" w:cs="Times New Roman"/>
                <w:color w:val="000000"/>
                <w:sz w:val="24"/>
                <w:highlight w:val="none"/>
                <w:lang w:val="en-US" w:eastAsia="zh-CN"/>
              </w:rPr>
              <w:t>0.223</w:t>
            </w:r>
            <w:r>
              <w:rPr>
                <w:rFonts w:hint="eastAsia" w:ascii="Times New Roman" w:hAnsi="Times New Roman" w:eastAsia="宋体" w:cs="Times New Roman"/>
                <w:color w:val="000000"/>
                <w:sz w:val="24"/>
                <w:highlight w:val="none"/>
                <w:lang w:eastAsia="zh-CN"/>
              </w:rPr>
              <w:t>t</w:t>
            </w:r>
            <w:r>
              <w:rPr>
                <w:rFonts w:hint="eastAsia" w:ascii="Times New Roman" w:hAnsi="Times New Roman" w:eastAsia="宋体" w:cs="Times New Roman"/>
                <w:color w:val="000000"/>
                <w:sz w:val="24"/>
                <w:highlight w:val="none"/>
                <w:lang w:val="en-US" w:eastAsia="zh-CN"/>
              </w:rPr>
              <w:t>/</w:t>
            </w:r>
            <w:r>
              <w:rPr>
                <w:rFonts w:hint="eastAsia" w:ascii="Times New Roman" w:hAnsi="Times New Roman" w:eastAsia="宋体" w:cs="Times New Roman"/>
                <w:color w:val="000000"/>
                <w:sz w:val="24"/>
                <w:highlight w:val="none"/>
                <w:lang w:eastAsia="zh-CN"/>
              </w:rPr>
              <w:t>a。沉淀污泥属于危险物，编号为HW49（其他废物），废物代码772-006-49。</w:t>
            </w:r>
          </w:p>
          <w:p w14:paraId="49F1D58E">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sz w:val="24"/>
                <w:szCs w:val="24"/>
                <w:highlight w:val="none"/>
                <w:lang w:eastAsia="zh-CN"/>
              </w:rPr>
            </w:pPr>
            <w:r>
              <w:rPr>
                <w:rFonts w:hint="eastAsia" w:cs="Times New Roman"/>
                <w:color w:val="000000"/>
                <w:sz w:val="24"/>
                <w:szCs w:val="24"/>
                <w:highlight w:val="none"/>
                <w:lang w:eastAsia="zh-CN"/>
              </w:rPr>
              <w:t>④</w:t>
            </w:r>
            <w:r>
              <w:rPr>
                <w:rFonts w:hint="eastAsia" w:ascii="Times New Roman" w:hAnsi="Times New Roman" w:eastAsia="宋体" w:cs="Times New Roman"/>
                <w:color w:val="000000"/>
                <w:sz w:val="24"/>
                <w:szCs w:val="24"/>
                <w:highlight w:val="none"/>
                <w:lang w:eastAsia="zh-CN"/>
              </w:rPr>
              <w:t>废活性炭</w:t>
            </w:r>
          </w:p>
          <w:p w14:paraId="220D6A7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项目废气治理设施运行一段时间后，活性炭吸附有机污染物后将达到饱和状态，无法继续使用，需定期更换，根据《活性炭纤维在挥发性有机废气处理中的应用》</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杨芬刘品华，曲靖师范学院学报</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的试验结果表明，每公斤活性炭可吸附0.22</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25kg的有机废气，因此以每千克活性炭吸附0</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2</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千克的废气污染物计算，本项目共有约</w:t>
            </w:r>
            <w:r>
              <w:rPr>
                <w:rFonts w:hint="eastAsia" w:ascii="Times New Roman" w:hAnsi="Times New Roman" w:eastAsia="宋体" w:cs="Times New Roman"/>
                <w:color w:val="auto"/>
                <w:highlight w:val="none"/>
                <w:lang w:val="en-US" w:eastAsia="zh-CN"/>
              </w:rPr>
              <w:t>0.1</w:t>
            </w:r>
            <w:r>
              <w:rPr>
                <w:rFonts w:hint="eastAsia" w:cs="Times New Roman"/>
                <w:color w:val="auto"/>
                <w:highlight w:val="none"/>
                <w:lang w:val="en-US" w:eastAsia="zh-CN"/>
              </w:rPr>
              <w:t>93</w:t>
            </w:r>
            <w:r>
              <w:rPr>
                <w:rFonts w:hint="default" w:ascii="Times New Roman" w:hAnsi="Times New Roman" w:eastAsia="宋体" w:cs="Times New Roman"/>
                <w:color w:val="auto"/>
                <w:highlight w:val="none"/>
              </w:rPr>
              <w:t>吨挥发性有机废气被吸附,理论需活性炭量约</w:t>
            </w:r>
            <w:r>
              <w:rPr>
                <w:rFonts w:hint="eastAsia" w:cs="Times New Roman"/>
                <w:color w:val="auto"/>
                <w:highlight w:val="none"/>
                <w:lang w:val="en-US" w:eastAsia="zh-CN"/>
              </w:rPr>
              <w:t>0.772</w:t>
            </w:r>
            <w:r>
              <w:rPr>
                <w:rFonts w:hint="eastAsia"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rPr>
              <w:t>则废活性炭的产生量约为</w:t>
            </w: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965</w:t>
            </w:r>
            <w:r>
              <w:rPr>
                <w:rFonts w:hint="default" w:ascii="Times New Roman" w:hAnsi="Times New Roman" w:eastAsia="宋体" w:cs="Times New Roman"/>
                <w:color w:val="auto"/>
                <w:highlight w:val="none"/>
              </w:rPr>
              <w:t>t</w:t>
            </w:r>
            <w:r>
              <w:rPr>
                <w:rFonts w:hint="eastAsia" w:cs="Times New Roman"/>
                <w:color w:val="auto"/>
                <w:highlight w:val="none"/>
                <w:lang w:val="en-US" w:eastAsia="zh-CN"/>
              </w:rPr>
              <w:t>/</w:t>
            </w:r>
            <w:r>
              <w:rPr>
                <w:rFonts w:hint="default" w:ascii="Times New Roman" w:hAnsi="Times New Roman" w:eastAsia="宋体" w:cs="Times New Roman"/>
                <w:color w:val="auto"/>
                <w:highlight w:val="none"/>
              </w:rPr>
              <w:t>a</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废活性炭属危险废物，危废类别为HW49</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其他废物</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，废物代码900-039-49</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烟气VOCs 治理过程</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不包括餐饮行业油烟治理过程</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产生的废活性炭</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14:paraId="570B98E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项目活性炭吸附器内的活性炭量约为0.24t</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活性炭箱设置两格，一格装有300块蜂窝状活性炭，活性炭规格为100*100*50mm，密度约0.8g</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cm</w:t>
            </w:r>
            <w:r>
              <w:rPr>
                <w:rFonts w:hint="eastAsia"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rPr>
              <w:t>，活性炭重量约0.24t</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建设单位4个月更换一次饱和的活性炭</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一年更换3次</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，保证处理设施的去除效率则更换活性炭量0.72</w:t>
            </w:r>
            <w:r>
              <w:rPr>
                <w:rFonts w:hint="eastAsia" w:ascii="Times New Roman" w:hAnsi="Times New Roman" w:eastAsia="宋体" w:cs="Times New Roman"/>
                <w:color w:val="auto"/>
                <w:highlight w:val="none"/>
                <w:lang w:val="en-US" w:eastAsia="zh-CN"/>
              </w:rPr>
              <w:t>t/</w:t>
            </w:r>
            <w:r>
              <w:rPr>
                <w:rFonts w:hint="default" w:ascii="Times New Roman" w:hAnsi="Times New Roman" w:eastAsia="宋体" w:cs="Times New Roman"/>
                <w:color w:val="auto"/>
                <w:highlight w:val="none"/>
              </w:rPr>
              <w:t>a，废活性炭实际产生量为</w:t>
            </w:r>
            <w:r>
              <w:rPr>
                <w:rFonts w:hint="eastAsia" w:cs="Times New Roman"/>
                <w:color w:val="auto"/>
                <w:highlight w:val="none"/>
                <w:lang w:val="en-US" w:eastAsia="zh-CN"/>
              </w:rPr>
              <w:t>0.913</w:t>
            </w:r>
            <w:r>
              <w:rPr>
                <w:rFonts w:hint="default" w:ascii="Times New Roman" w:hAnsi="Times New Roman" w:eastAsia="宋体" w:cs="Times New Roman"/>
                <w:color w:val="auto"/>
                <w:highlight w:val="none"/>
              </w:rPr>
              <w:t>t</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a</w:t>
            </w:r>
            <w:r>
              <w:rPr>
                <w:rFonts w:hint="eastAsia" w:ascii="Times New Roman" w:hAnsi="Times New Roman" w:eastAsia="宋体" w:cs="Times New Roman"/>
                <w:color w:val="auto"/>
                <w:highlight w:val="none"/>
                <w:lang w:eastAsia="zh-CN"/>
              </w:rPr>
              <w:t>。</w:t>
            </w:r>
          </w:p>
          <w:p w14:paraId="3074E30B">
            <w:pPr>
              <w:pStyle w:val="5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outlineLvl w:val="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）生活垃圾</w:t>
            </w:r>
          </w:p>
          <w:p w14:paraId="47AA3B9E">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项目职工人数为</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人，</w:t>
            </w:r>
            <w:r>
              <w:rPr>
                <w:rFonts w:hint="eastAsia" w:ascii="Times New Roman" w:hAnsi="Times New Roman" w:eastAsia="宋体" w:cs="Times New Roman"/>
                <w:color w:val="auto"/>
                <w:sz w:val="24"/>
                <w:szCs w:val="24"/>
                <w:highlight w:val="none"/>
                <w:lang w:eastAsia="zh-CN"/>
              </w:rPr>
              <w:t>其中住宿职工为</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0人，职工</w:t>
            </w:r>
            <w:r>
              <w:rPr>
                <w:rFonts w:hint="default" w:ascii="Times New Roman" w:hAnsi="Times New Roman" w:eastAsia="宋体" w:cs="Times New Roman"/>
                <w:color w:val="auto"/>
                <w:sz w:val="24"/>
                <w:szCs w:val="24"/>
                <w:highlight w:val="none"/>
              </w:rPr>
              <w:t>的生活垃圾产生量按下式计算：</w:t>
            </w:r>
          </w:p>
          <w:p w14:paraId="252A7B6E">
            <w:pPr>
              <w:pStyle w:val="3"/>
              <w:keepNext w:val="0"/>
              <w:keepLines w:val="0"/>
              <w:pageBreakBefore w:val="0"/>
              <w:widowControl w:val="0"/>
              <w:kinsoku/>
              <w:wordWrap/>
              <w:overflowPunct/>
              <w:topLinePunct w:val="0"/>
              <w:autoSpaceDE/>
              <w:autoSpaceDN/>
              <w:bidi w:val="0"/>
              <w:spacing w:after="0" w:line="360" w:lineRule="auto"/>
              <w:ind w:left="0" w:leftChars="0"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G=KNR10</w:t>
            </w:r>
            <w:r>
              <w:rPr>
                <w:rFonts w:hint="default" w:ascii="Times New Roman" w:hAnsi="Times New Roman" w:eastAsia="宋体" w:cs="Times New Roman"/>
                <w:color w:val="auto"/>
                <w:sz w:val="24"/>
                <w:szCs w:val="24"/>
                <w:highlight w:val="none"/>
                <w:vertAlign w:val="superscript"/>
              </w:rPr>
              <w:t>-3</w:t>
            </w:r>
          </w:p>
          <w:p w14:paraId="4BF05B74">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式中：G 为生活垃圾产生量（t/a）；</w:t>
            </w:r>
          </w:p>
          <w:p w14:paraId="39C2709C">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K 为人均排放系数（kg/人.日）；</w:t>
            </w:r>
          </w:p>
          <w:p w14:paraId="4671C85B">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 为人口数（人）；</w:t>
            </w:r>
          </w:p>
          <w:p w14:paraId="440DDA48">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 为每年排放天数。</w:t>
            </w:r>
          </w:p>
          <w:p w14:paraId="0B644459">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根据我国生活污染物排放系数，住宿职工人均排放系数取</w:t>
            </w:r>
            <w:r>
              <w:rPr>
                <w:rFonts w:hint="eastAsia"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kg/人·d，年工作日以</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rPr>
              <w:t>天计，则生活垃圾产生量约为</w:t>
            </w:r>
            <w:r>
              <w:rPr>
                <w:rFonts w:hint="eastAsia" w:cs="Times New Roman"/>
                <w:color w:val="auto"/>
                <w:sz w:val="24"/>
                <w:szCs w:val="24"/>
                <w:highlight w:val="none"/>
                <w:lang w:val="en-US" w:eastAsia="zh-CN"/>
              </w:rPr>
              <w:t>14.4</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/a。生活垃圾由环卫部门统一清运处理。</w:t>
            </w:r>
          </w:p>
          <w:p w14:paraId="40D8F534">
            <w:pPr>
              <w:pStyle w:val="56"/>
              <w:keepNext w:val="0"/>
              <w:keepLines w:val="0"/>
              <w:pageBreakBefore w:val="0"/>
              <w:widowControl w:val="0"/>
              <w:kinsoku/>
              <w:wordWrap/>
              <w:overflowPunct/>
              <w:topLinePunct w:val="0"/>
              <w:autoSpaceDE/>
              <w:autoSpaceDN/>
              <w:bidi w:val="0"/>
              <w:adjustRightInd w:val="0"/>
              <w:snapToGrid w:val="0"/>
              <w:spacing w:before="157" w:beforeLines="50" w:after="0" w:afterLines="0" w:line="360" w:lineRule="auto"/>
              <w:textAlignment w:val="auto"/>
              <w:outlineLvl w:val="1"/>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4.4.2固体废物处置措施</w:t>
            </w:r>
          </w:p>
          <w:p w14:paraId="3D867C5F">
            <w:pPr>
              <w:pStyle w:val="6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（1）</w:t>
            </w:r>
            <w:r>
              <w:rPr>
                <w:rFonts w:hint="default" w:ascii="Times New Roman" w:hAnsi="Times New Roman" w:eastAsia="宋体" w:cs="Times New Roman"/>
                <w:color w:val="auto"/>
                <w:sz w:val="24"/>
                <w:highlight w:val="none"/>
              </w:rPr>
              <w:t>一般工业固废</w:t>
            </w:r>
          </w:p>
          <w:p w14:paraId="7F2B54BD">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项目拟</w:t>
            </w:r>
            <w:r>
              <w:rPr>
                <w:rFonts w:hint="eastAsia" w:ascii="Times New Roman" w:hAnsi="Times New Roman" w:eastAsia="宋体" w:cs="Times New Roman"/>
                <w:color w:val="auto"/>
                <w:sz w:val="24"/>
                <w:szCs w:val="24"/>
                <w:highlight w:val="none"/>
                <w:lang w:eastAsia="zh-CN"/>
              </w:rPr>
              <w:t>生产厂房中</w:t>
            </w:r>
            <w:r>
              <w:rPr>
                <w:rFonts w:hint="eastAsia" w:ascii="Times New Roman" w:hAnsi="Times New Roman" w:eastAsia="宋体" w:cs="Times New Roman"/>
                <w:color w:val="auto"/>
                <w:sz w:val="24"/>
                <w:szCs w:val="24"/>
                <w:highlight w:val="none"/>
                <w:lang w:val="en-US" w:eastAsia="zh-CN"/>
              </w:rPr>
              <w:t>1F</w:t>
            </w:r>
            <w:r>
              <w:rPr>
                <w:rFonts w:hint="default" w:ascii="Times New Roman" w:hAnsi="Times New Roman" w:eastAsia="宋体" w:cs="Times New Roman"/>
                <w:color w:val="auto"/>
                <w:sz w:val="24"/>
                <w:szCs w:val="24"/>
                <w:highlight w:val="none"/>
              </w:rPr>
              <w:t>设置一般固废区，用于暂存生产过程中产生的一般固废，主要为</w:t>
            </w:r>
            <w:r>
              <w:rPr>
                <w:rFonts w:hint="eastAsia" w:ascii="Times New Roman" w:hAnsi="Times New Roman" w:eastAsia="宋体" w:cs="Times New Roman"/>
                <w:color w:val="auto"/>
                <w:sz w:val="24"/>
                <w:szCs w:val="24"/>
                <w:highlight w:val="none"/>
                <w:lang w:eastAsia="zh-CN"/>
              </w:rPr>
              <w:t>废次品</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项目一般固废经集中收集后由相关厂家回收利用；固废暂存</w:t>
            </w:r>
            <w:r>
              <w:rPr>
                <w:rFonts w:hint="eastAsia" w:ascii="Times New Roman" w:hAnsi="Times New Roman" w:eastAsia="宋体" w:cs="Times New Roman"/>
                <w:color w:val="auto"/>
                <w:sz w:val="24"/>
                <w:szCs w:val="24"/>
                <w:highlight w:val="none"/>
                <w:lang w:val="en-US" w:eastAsia="zh-CN"/>
              </w:rPr>
              <w:t>参</w:t>
            </w:r>
            <w:r>
              <w:rPr>
                <w:rFonts w:hint="default" w:ascii="Times New Roman" w:hAnsi="Times New Roman" w:eastAsia="宋体" w:cs="Times New Roman"/>
                <w:color w:val="auto"/>
                <w:sz w:val="24"/>
                <w:szCs w:val="24"/>
                <w:highlight w:val="none"/>
                <w:lang w:val="en-US" w:eastAsia="zh-CN"/>
              </w:rPr>
              <w:t>照</w:t>
            </w:r>
            <w:r>
              <w:rPr>
                <w:rFonts w:hint="default" w:ascii="Times New Roman" w:hAnsi="Times New Roman" w:eastAsia="宋体" w:cs="Times New Roman"/>
                <w:bCs/>
                <w:color w:val="auto"/>
                <w:sz w:val="24"/>
                <w:szCs w:val="24"/>
                <w:highlight w:val="none"/>
              </w:rPr>
              <w:t>GB18599-20</w:t>
            </w:r>
            <w:r>
              <w:rPr>
                <w:rFonts w:hint="eastAsia" w:ascii="Times New Roman" w:hAnsi="Times New Roman" w:eastAsia="宋体" w:cs="Times New Roman"/>
                <w:bCs/>
                <w:color w:val="auto"/>
                <w:sz w:val="24"/>
                <w:szCs w:val="24"/>
                <w:highlight w:val="none"/>
                <w:lang w:val="en-US" w:eastAsia="zh-CN"/>
              </w:rPr>
              <w:t>20</w:t>
            </w:r>
            <w:r>
              <w:rPr>
                <w:rFonts w:hint="default" w:ascii="Times New Roman" w:hAnsi="Times New Roman" w:eastAsia="宋体" w:cs="Times New Roman"/>
                <w:bCs/>
                <w:color w:val="auto"/>
                <w:sz w:val="24"/>
                <w:szCs w:val="24"/>
                <w:highlight w:val="none"/>
              </w:rPr>
              <w:t>《一般工业固体废物贮存</w:t>
            </w:r>
            <w:r>
              <w:rPr>
                <w:rFonts w:hint="eastAsia" w:ascii="Times New Roman" w:hAnsi="Times New Roman" w:eastAsia="宋体" w:cs="Times New Roman"/>
                <w:bCs/>
                <w:color w:val="auto"/>
                <w:sz w:val="24"/>
                <w:szCs w:val="24"/>
                <w:highlight w:val="none"/>
                <w:lang w:eastAsia="zh-CN"/>
              </w:rPr>
              <w:t>和填埋污染控制</w:t>
            </w:r>
            <w:r>
              <w:rPr>
                <w:rFonts w:hint="default" w:ascii="Times New Roman" w:hAnsi="Times New Roman" w:eastAsia="宋体" w:cs="Times New Roman"/>
                <w:bCs/>
                <w:color w:val="auto"/>
                <w:sz w:val="24"/>
                <w:szCs w:val="24"/>
                <w:highlight w:val="none"/>
              </w:rPr>
              <w:t>标准》</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要求进行贮存</w:t>
            </w:r>
            <w:r>
              <w:rPr>
                <w:rFonts w:hint="eastAsia" w:ascii="Times New Roman" w:hAnsi="Times New Roman" w:eastAsia="宋体" w:cs="Times New Roman"/>
                <w:color w:val="auto"/>
                <w:sz w:val="24"/>
                <w:szCs w:val="24"/>
                <w:highlight w:val="none"/>
                <w:lang w:val="en-US" w:eastAsia="zh-CN"/>
              </w:rPr>
              <w:t>场所</w:t>
            </w:r>
            <w:r>
              <w:rPr>
                <w:rFonts w:hint="default" w:ascii="Times New Roman" w:hAnsi="Times New Roman" w:eastAsia="宋体" w:cs="Times New Roman"/>
                <w:color w:val="auto"/>
                <w:sz w:val="24"/>
                <w:szCs w:val="24"/>
                <w:highlight w:val="none"/>
                <w:lang w:val="en-US" w:eastAsia="zh-CN"/>
              </w:rPr>
              <w:t>的建设、运行和监督管理。</w:t>
            </w:r>
          </w:p>
          <w:p w14:paraId="47EAB7CF">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危废暂存间</w:t>
            </w:r>
          </w:p>
          <w:p w14:paraId="7E801A5D">
            <w:pPr>
              <w:keepNext w:val="0"/>
              <w:keepLines w:val="0"/>
              <w:pageBreakBefore w:val="0"/>
              <w:suppressLineNumbers w:val="0"/>
              <w:kinsoku/>
              <w:wordWrap/>
              <w:overflowPunct/>
              <w:topLinePunct w:val="0"/>
              <w:autoSpaceDN/>
              <w:bidi w:val="0"/>
              <w:adjustRightIn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color w:val="000000"/>
                <w:sz w:val="24"/>
                <w:highlight w:val="none"/>
              </w:rPr>
              <w:t>项目</w:t>
            </w:r>
            <w:r>
              <w:rPr>
                <w:rFonts w:hint="eastAsia" w:ascii="Times New Roman" w:hAnsi="Times New Roman" w:eastAsia="宋体" w:cs="Times New Roman"/>
                <w:color w:val="000000"/>
                <w:sz w:val="24"/>
                <w:highlight w:val="none"/>
                <w:lang w:eastAsia="zh-CN"/>
              </w:rPr>
              <w:t>拟在生产厂房</w:t>
            </w:r>
            <w:r>
              <w:rPr>
                <w:rFonts w:hint="eastAsia" w:ascii="Times New Roman" w:hAnsi="Times New Roman" w:eastAsia="宋体" w:cs="Times New Roman"/>
                <w:color w:val="000000"/>
                <w:sz w:val="24"/>
                <w:highlight w:val="none"/>
                <w:lang w:val="en-US" w:eastAsia="zh-CN"/>
              </w:rPr>
              <w:t>1F设置一间危废暂存间，项目废水处理设施产生的污泥、废菲林片、废丝印版框、废活性炭、</w:t>
            </w:r>
            <w:r>
              <w:rPr>
                <w:rFonts w:hint="eastAsia" w:cs="Times New Roman"/>
                <w:color w:val="000000"/>
                <w:sz w:val="24"/>
                <w:highlight w:val="none"/>
                <w:lang w:val="en-US" w:eastAsia="zh-CN"/>
              </w:rPr>
              <w:t>破损、变形原</w:t>
            </w:r>
            <w:r>
              <w:rPr>
                <w:rFonts w:hint="eastAsia" w:ascii="Times New Roman" w:hAnsi="Times New Roman" w:eastAsia="宋体" w:cs="Times New Roman"/>
                <w:color w:val="000000"/>
                <w:sz w:val="24"/>
                <w:highlight w:val="none"/>
                <w:lang w:val="en-US" w:eastAsia="zh-CN"/>
              </w:rPr>
              <w:t>料空桶经收集后暂存于危废暂存间，</w:t>
            </w:r>
            <w:r>
              <w:rPr>
                <w:rFonts w:hint="default" w:ascii="Times New Roman" w:hAnsi="Times New Roman" w:eastAsia="宋体" w:cs="Times New Roman"/>
                <w:color w:val="000000"/>
                <w:sz w:val="24"/>
                <w:highlight w:val="none"/>
                <w:lang w:eastAsia="zh-CN"/>
              </w:rPr>
              <w:t>危废暂存间建设符</w:t>
            </w:r>
            <w:r>
              <w:rPr>
                <w:rFonts w:hint="default" w:ascii="Times New Roman" w:hAnsi="Times New Roman" w:eastAsia="宋体" w:cs="Times New Roman"/>
                <w:color w:val="auto"/>
                <w:sz w:val="24"/>
                <w:highlight w:val="none"/>
                <w:lang w:eastAsia="zh-CN"/>
              </w:rPr>
              <w:t>合</w:t>
            </w:r>
            <w:r>
              <w:rPr>
                <w:rFonts w:hint="default" w:ascii="Times New Roman" w:hAnsi="Times New Roman" w:eastAsia="宋体" w:cs="Times New Roman"/>
                <w:color w:val="auto"/>
                <w:sz w:val="24"/>
                <w:highlight w:val="none"/>
              </w:rPr>
              <w:t>GB18597-20</w:t>
            </w:r>
            <w:r>
              <w:rPr>
                <w:rFonts w:hint="eastAsia" w:ascii="Times New Roman" w:hAnsi="Times New Roman" w:cs="Times New Roman"/>
                <w:color w:val="auto"/>
                <w:sz w:val="24"/>
                <w:highlight w:val="none"/>
                <w:lang w:val="en-US" w:eastAsia="zh-CN"/>
              </w:rPr>
              <w:t>23</w:t>
            </w:r>
            <w:r>
              <w:rPr>
                <w:rFonts w:hint="default" w:ascii="Times New Roman" w:hAnsi="Times New Roman" w:eastAsia="宋体" w:cs="Times New Roman"/>
                <w:color w:val="auto"/>
                <w:sz w:val="24"/>
                <w:highlight w:val="none"/>
              </w:rPr>
              <w:t>《危险废物贮存污染控制标准》</w:t>
            </w:r>
            <w:r>
              <w:rPr>
                <w:rFonts w:hint="default" w:ascii="Times New Roman" w:hAnsi="Times New Roman" w:eastAsia="宋体" w:cs="Times New Roman"/>
                <w:bCs/>
                <w:color w:val="auto"/>
                <w:sz w:val="24"/>
                <w:szCs w:val="24"/>
                <w:highlight w:val="none"/>
                <w:lang w:eastAsia="zh-CN"/>
              </w:rPr>
              <w:t>要</w:t>
            </w:r>
            <w:r>
              <w:rPr>
                <w:rFonts w:hint="default" w:ascii="Times New Roman" w:hAnsi="Times New Roman" w:eastAsia="宋体" w:cs="Times New Roman"/>
                <w:bCs/>
                <w:color w:val="000000"/>
                <w:sz w:val="24"/>
                <w:szCs w:val="24"/>
                <w:highlight w:val="none"/>
                <w:lang w:eastAsia="zh-CN"/>
              </w:rPr>
              <w:t>求。</w:t>
            </w:r>
          </w:p>
          <w:p w14:paraId="2FE193FA">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）生活垃圾</w:t>
            </w:r>
          </w:p>
          <w:p w14:paraId="61A0DF3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在场区内拟设置垃圾筒收集生活垃圾，并由环卫部门负责定期统一清运。</w:t>
            </w:r>
          </w:p>
          <w:p w14:paraId="062F7596">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项目固体废物经及时、妥善处理后，对周围环境不会造成二次污染。</w:t>
            </w:r>
          </w:p>
          <w:p w14:paraId="6568BC0E">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1"/>
              <w:rPr>
                <w:rFonts w:hint="default" w:ascii="Times New Roman" w:hAnsi="Times New Roman" w:eastAsia="宋体" w:cs="Times New Roman"/>
                <w:b/>
                <w:bCs/>
                <w:color w:val="auto"/>
                <w:kern w:val="2"/>
                <w:sz w:val="24"/>
                <w:szCs w:val="24"/>
                <w:highlight w:val="none"/>
                <w:lang w:val="zh-CN" w:eastAsia="zh-CN" w:bidi="ar-SA"/>
              </w:rPr>
            </w:pPr>
            <w:r>
              <w:rPr>
                <w:rFonts w:hint="default" w:ascii="Times New Roman" w:hAnsi="Times New Roman" w:eastAsia="宋体" w:cs="Times New Roman"/>
                <w:b/>
                <w:bCs/>
                <w:color w:val="auto"/>
                <w:kern w:val="2"/>
                <w:sz w:val="24"/>
                <w:szCs w:val="24"/>
                <w:highlight w:val="none"/>
                <w:lang w:val="en-US" w:eastAsia="zh-CN" w:bidi="ar-SA"/>
              </w:rPr>
              <w:t>4.4.3固废环境管理要求</w:t>
            </w:r>
          </w:p>
          <w:p w14:paraId="22B15D45">
            <w:pPr>
              <w:adjustRightInd w:val="0"/>
              <w:spacing w:line="360" w:lineRule="auto"/>
              <w:ind w:firstLine="482" w:firstLine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①一般固体废物环境管理要求：</w:t>
            </w:r>
          </w:p>
          <w:p w14:paraId="72A16A60">
            <w:pPr>
              <w:pStyle w:val="63"/>
              <w:tabs>
                <w:tab w:val="center" w:pos="4153"/>
                <w:tab w:val="right" w:pos="8306"/>
              </w:tabs>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贮存场所禁止危险废物和生活垃圾混入</w:t>
            </w:r>
            <w:r>
              <w:rPr>
                <w:rFonts w:hint="default" w:ascii="Times New Roman" w:hAnsi="Times New Roman" w:eastAsia="宋体" w:cs="Times New Roman"/>
                <w:color w:val="auto"/>
                <w:sz w:val="24"/>
                <w:szCs w:val="24"/>
                <w:highlight w:val="none"/>
              </w:rPr>
              <w:t>。</w:t>
            </w:r>
          </w:p>
          <w:p w14:paraId="45FE3EE7">
            <w:pPr>
              <w:pStyle w:val="63"/>
              <w:tabs>
                <w:tab w:val="center" w:pos="4153"/>
                <w:tab w:val="right" w:pos="8306"/>
              </w:tabs>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b．在</w:t>
            </w:r>
            <w:r>
              <w:rPr>
                <w:rFonts w:hint="default" w:ascii="Times New Roman" w:hAnsi="Times New Roman" w:eastAsia="宋体" w:cs="Times New Roman"/>
                <w:color w:val="auto"/>
                <w:sz w:val="24"/>
                <w:szCs w:val="24"/>
                <w:highlight w:val="none"/>
                <w:lang w:eastAsia="zh-CN"/>
              </w:rPr>
              <w:t>贮存场</w:t>
            </w:r>
            <w:r>
              <w:rPr>
                <w:rFonts w:hint="default" w:ascii="Times New Roman" w:hAnsi="Times New Roman" w:eastAsia="宋体" w:cs="Times New Roman"/>
                <w:color w:val="auto"/>
                <w:sz w:val="24"/>
                <w:szCs w:val="24"/>
                <w:highlight w:val="none"/>
              </w:rPr>
              <w:t>所醒目的地方设置</w:t>
            </w:r>
            <w:r>
              <w:rPr>
                <w:rFonts w:hint="default" w:ascii="Times New Roman" w:hAnsi="Times New Roman" w:eastAsia="宋体" w:cs="Times New Roman"/>
                <w:color w:val="auto"/>
                <w:sz w:val="24"/>
                <w:szCs w:val="24"/>
                <w:highlight w:val="none"/>
                <w:lang w:eastAsia="zh-CN"/>
              </w:rPr>
              <w:t>一般固体废物</w:t>
            </w:r>
            <w:r>
              <w:rPr>
                <w:rFonts w:hint="eastAsia" w:ascii="Times New Roman" w:hAnsi="Times New Roman" w:eastAsia="宋体" w:cs="Times New Roman"/>
                <w:color w:val="auto"/>
                <w:sz w:val="24"/>
                <w:szCs w:val="24"/>
                <w:highlight w:val="none"/>
                <w:lang w:eastAsia="zh-CN"/>
              </w:rPr>
              <w:t>警示</w:t>
            </w:r>
            <w:r>
              <w:rPr>
                <w:rFonts w:hint="default" w:ascii="Times New Roman" w:hAnsi="Times New Roman" w:eastAsia="宋体" w:cs="Times New Roman"/>
                <w:color w:val="auto"/>
                <w:sz w:val="24"/>
                <w:szCs w:val="24"/>
                <w:highlight w:val="none"/>
              </w:rPr>
              <w:t>标识。</w:t>
            </w:r>
          </w:p>
          <w:p w14:paraId="38B9146D">
            <w:pPr>
              <w:pStyle w:val="63"/>
              <w:tabs>
                <w:tab w:val="center" w:pos="4153"/>
                <w:tab w:val="right" w:pos="8306"/>
              </w:tabs>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c．</w:t>
            </w:r>
            <w:r>
              <w:rPr>
                <w:rFonts w:hint="eastAsia" w:ascii="Times New Roman" w:hAnsi="Times New Roman" w:eastAsia="宋体" w:cs="Times New Roman"/>
                <w:color w:val="auto"/>
                <w:sz w:val="24"/>
                <w:szCs w:val="24"/>
                <w:highlight w:val="none"/>
                <w:lang w:eastAsia="zh-CN"/>
              </w:rPr>
              <w:t>固废暂存</w:t>
            </w:r>
            <w:r>
              <w:rPr>
                <w:rFonts w:hint="default" w:ascii="Times New Roman" w:hAnsi="Times New Roman" w:eastAsia="宋体" w:cs="Times New Roman"/>
                <w:color w:val="auto"/>
                <w:sz w:val="24"/>
                <w:szCs w:val="24"/>
                <w:highlight w:val="none"/>
              </w:rPr>
              <w:t>场应满足</w:t>
            </w:r>
            <w:r>
              <w:rPr>
                <w:rFonts w:hint="default" w:ascii="Times New Roman" w:hAnsi="Times New Roman" w:eastAsia="宋体" w:cs="Times New Roman"/>
                <w:bCs/>
                <w:color w:val="auto"/>
                <w:sz w:val="24"/>
                <w:szCs w:val="24"/>
                <w:highlight w:val="none"/>
              </w:rPr>
              <w:t>GB18599-20</w:t>
            </w:r>
            <w:r>
              <w:rPr>
                <w:rFonts w:hint="eastAsia" w:ascii="Times New Roman" w:hAnsi="Times New Roman" w:eastAsia="宋体" w:cs="Times New Roman"/>
                <w:bCs/>
                <w:color w:val="auto"/>
                <w:sz w:val="24"/>
                <w:szCs w:val="24"/>
                <w:highlight w:val="none"/>
                <w:lang w:val="en-US" w:eastAsia="zh-CN"/>
              </w:rPr>
              <w:t>20</w:t>
            </w:r>
            <w:r>
              <w:rPr>
                <w:rFonts w:hint="default" w:ascii="Times New Roman" w:hAnsi="Times New Roman" w:eastAsia="宋体" w:cs="Times New Roman"/>
                <w:bCs/>
                <w:color w:val="auto"/>
                <w:sz w:val="24"/>
                <w:szCs w:val="24"/>
                <w:highlight w:val="none"/>
              </w:rPr>
              <w:t>《一般工业固体废物贮存</w:t>
            </w:r>
            <w:r>
              <w:rPr>
                <w:rFonts w:hint="eastAsia" w:ascii="Times New Roman" w:hAnsi="Times New Roman" w:eastAsia="宋体" w:cs="Times New Roman"/>
                <w:bCs/>
                <w:color w:val="auto"/>
                <w:sz w:val="24"/>
                <w:szCs w:val="24"/>
                <w:highlight w:val="none"/>
                <w:lang w:eastAsia="zh-CN"/>
              </w:rPr>
              <w:t>和填埋污染控制</w:t>
            </w:r>
            <w:r>
              <w:rPr>
                <w:rFonts w:hint="default" w:ascii="Times New Roman" w:hAnsi="Times New Roman" w:eastAsia="宋体" w:cs="Times New Roman"/>
                <w:bCs/>
                <w:color w:val="auto"/>
                <w:sz w:val="24"/>
                <w:szCs w:val="24"/>
                <w:highlight w:val="none"/>
              </w:rPr>
              <w:t>标准》</w:t>
            </w:r>
            <w:r>
              <w:rPr>
                <w:rFonts w:hint="eastAsia" w:ascii="Times New Roman" w:hAnsi="Times New Roman" w:eastAsia="宋体" w:cs="Times New Roman"/>
                <w:color w:val="auto"/>
                <w:sz w:val="24"/>
                <w:szCs w:val="24"/>
                <w:highlight w:val="none"/>
                <w:lang w:val="en-US" w:eastAsia="zh-CN"/>
              </w:rPr>
              <w:t>的</w:t>
            </w:r>
            <w:r>
              <w:rPr>
                <w:rFonts w:hint="eastAsia" w:ascii="Times New Roman" w:hAnsi="Times New Roman" w:eastAsia="宋体" w:cs="Times New Roman"/>
                <w:bCs/>
                <w:color w:val="auto"/>
                <w:sz w:val="24"/>
                <w:szCs w:val="24"/>
                <w:highlight w:val="none"/>
                <w:lang w:eastAsia="zh-CN"/>
              </w:rPr>
              <w:t>要求</w:t>
            </w:r>
            <w:r>
              <w:rPr>
                <w:rFonts w:hint="default" w:ascii="Times New Roman" w:hAnsi="Times New Roman" w:eastAsia="宋体" w:cs="Times New Roman"/>
                <w:color w:val="auto"/>
                <w:sz w:val="24"/>
                <w:szCs w:val="24"/>
                <w:highlight w:val="none"/>
                <w:lang w:eastAsia="zh-CN"/>
              </w:rPr>
              <w:t>。</w:t>
            </w:r>
          </w:p>
          <w:p w14:paraId="76B177FB">
            <w:pPr>
              <w:pStyle w:val="63"/>
              <w:tabs>
                <w:tab w:val="center" w:pos="4153"/>
                <w:tab w:val="right" w:pos="8306"/>
              </w:tabs>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．要求必要的防风、防雨、防晒措施。</w:t>
            </w:r>
          </w:p>
          <w:p w14:paraId="528BB7B2">
            <w:pPr>
              <w:pStyle w:val="63"/>
              <w:widowControl w:val="0"/>
              <w:tabs>
                <w:tab w:val="center" w:pos="4153"/>
                <w:tab w:val="right" w:pos="8306"/>
              </w:tabs>
              <w:autoSpaceDE/>
              <w:autoSpaceDN/>
              <w:adjustRightInd/>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w:t>
            </w:r>
            <w:r>
              <w:rPr>
                <w:rFonts w:hint="default" w:ascii="Times New Roman" w:hAnsi="Times New Roman" w:eastAsia="宋体" w:cs="Times New Roman"/>
                <w:color w:val="auto"/>
                <w:sz w:val="24"/>
                <w:szCs w:val="24"/>
                <w:highlight w:val="none"/>
                <w:lang w:eastAsia="zh-CN"/>
              </w:rPr>
              <w:t>做好台账记录，建立档案管理制度，应记录一般工业固体废物的种类和数量</w:t>
            </w:r>
            <w:r>
              <w:rPr>
                <w:rFonts w:hint="default" w:ascii="Times New Roman" w:hAnsi="Times New Roman" w:eastAsia="宋体" w:cs="Times New Roman"/>
                <w:color w:val="auto"/>
                <w:sz w:val="24"/>
                <w:szCs w:val="24"/>
                <w:highlight w:val="none"/>
              </w:rPr>
              <w:t>。</w:t>
            </w:r>
          </w:p>
          <w:p w14:paraId="318B881A">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综上所述，项目产生的固体废物经上述措施处理后不会对周围环境产生大的影响。</w:t>
            </w:r>
          </w:p>
          <w:p w14:paraId="7D6B6940">
            <w:pPr>
              <w:keepNext w:val="0"/>
              <w:keepLines w:val="0"/>
              <w:pageBreakBefore w:val="0"/>
              <w:suppressLineNumbers w:val="0"/>
              <w:kinsoku/>
              <w:wordWrap/>
              <w:overflowPunct/>
              <w:topLinePunct w:val="0"/>
              <w:autoSpaceDN/>
              <w:bidi w:val="0"/>
              <w:adjustRightIn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lang w:eastAsia="zh-CN"/>
              </w:rPr>
              <w:t>②</w:t>
            </w:r>
            <w:r>
              <w:rPr>
                <w:rFonts w:hint="default" w:ascii="Times New Roman" w:hAnsi="Times New Roman" w:eastAsia="宋体" w:cs="Times New Roman"/>
                <w:b/>
                <w:bCs/>
                <w:color w:val="000000"/>
                <w:sz w:val="24"/>
                <w:highlight w:val="none"/>
              </w:rPr>
              <w:t>危险废物</w:t>
            </w:r>
            <w:r>
              <w:rPr>
                <w:rFonts w:hint="default" w:ascii="Times New Roman" w:hAnsi="Times New Roman" w:eastAsia="宋体" w:cs="Times New Roman"/>
                <w:b/>
                <w:bCs/>
                <w:color w:val="000000"/>
                <w:sz w:val="24"/>
                <w:highlight w:val="none"/>
                <w:lang w:eastAsia="zh-CN"/>
              </w:rPr>
              <w:t>环境</w:t>
            </w:r>
            <w:r>
              <w:rPr>
                <w:rFonts w:hint="default" w:ascii="Times New Roman" w:hAnsi="Times New Roman" w:eastAsia="宋体" w:cs="Times New Roman"/>
                <w:b/>
                <w:bCs/>
                <w:color w:val="000000"/>
                <w:sz w:val="24"/>
                <w:highlight w:val="none"/>
              </w:rPr>
              <w:t>管理</w:t>
            </w:r>
            <w:r>
              <w:rPr>
                <w:rFonts w:hint="default" w:ascii="Times New Roman" w:hAnsi="Times New Roman" w:eastAsia="宋体" w:cs="Times New Roman"/>
                <w:b/>
                <w:bCs/>
                <w:color w:val="000000"/>
                <w:sz w:val="24"/>
                <w:highlight w:val="none"/>
                <w:lang w:eastAsia="zh-CN"/>
              </w:rPr>
              <w:t>要求</w:t>
            </w:r>
            <w:r>
              <w:rPr>
                <w:rFonts w:hint="default" w:ascii="Times New Roman" w:hAnsi="Times New Roman" w:eastAsia="宋体" w:cs="Times New Roman"/>
                <w:b/>
                <w:bCs/>
                <w:color w:val="000000"/>
                <w:sz w:val="24"/>
                <w:highlight w:val="none"/>
              </w:rPr>
              <w:t>：</w:t>
            </w:r>
          </w:p>
          <w:p w14:paraId="5C6F35BD">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fldChar w:fldCharType="begin"/>
            </w:r>
            <w:r>
              <w:rPr>
                <w:rFonts w:hint="default" w:ascii="Times New Roman" w:hAnsi="Times New Roman" w:eastAsia="宋体" w:cs="Times New Roman"/>
                <w:color w:val="000000"/>
                <w:sz w:val="24"/>
                <w:szCs w:val="24"/>
                <w:highlight w:val="none"/>
              </w:rPr>
              <w:instrText xml:space="preserve"> = 1 \* ROMAN \* MERGEFORMAT </w:instrText>
            </w:r>
            <w:r>
              <w:rPr>
                <w:rFonts w:hint="default" w:ascii="Times New Roman" w:hAnsi="Times New Roman" w:eastAsia="宋体" w:cs="Times New Roman"/>
                <w:color w:val="000000"/>
                <w:sz w:val="24"/>
                <w:szCs w:val="24"/>
                <w:highlight w:val="none"/>
              </w:rPr>
              <w:fldChar w:fldCharType="separate"/>
            </w:r>
            <w:r>
              <w:rPr>
                <w:rFonts w:hint="default" w:ascii="Times New Roman" w:hAnsi="Times New Roman" w:eastAsia="宋体" w:cs="Times New Roman"/>
                <w:color w:val="000000"/>
                <w:sz w:val="24"/>
                <w:szCs w:val="24"/>
                <w:highlight w:val="none"/>
              </w:rPr>
              <w:t>I</w:t>
            </w:r>
            <w:r>
              <w:rPr>
                <w:rFonts w:hint="default" w:ascii="Times New Roman" w:hAnsi="Times New Roman" w:eastAsia="宋体" w:cs="Times New Roman"/>
                <w:color w:val="000000"/>
                <w:sz w:val="24"/>
                <w:szCs w:val="24"/>
                <w:highlight w:val="none"/>
              </w:rPr>
              <w:fldChar w:fldCharType="end"/>
            </w:r>
            <w:r>
              <w:rPr>
                <w:rFonts w:hint="default" w:ascii="Times New Roman" w:hAnsi="Times New Roman" w:eastAsia="宋体" w:cs="Times New Roman"/>
                <w:color w:val="000000"/>
                <w:sz w:val="24"/>
                <w:szCs w:val="24"/>
                <w:highlight w:val="none"/>
              </w:rPr>
              <w:t>危险废物的收集包装</w:t>
            </w:r>
          </w:p>
          <w:p w14:paraId="0D48440E">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a．有符合要求的包装容器、收集人员的个人防护设备。</w:t>
            </w:r>
          </w:p>
          <w:p w14:paraId="28701A2A">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b．危险废物的收集容器应在醒目位置贴有危险废物标签，在收集场所醒目的地方设置危险废物警告标识。</w:t>
            </w:r>
          </w:p>
          <w:p w14:paraId="5391498F">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c．危险废物标签应标明以下信息：主要化学成分或危险废物名称、数量、物理形态、危险类别、安全措施以及危险废物产生单位名称、地址、联系人及电话。</w:t>
            </w:r>
          </w:p>
          <w:p w14:paraId="47B11375">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fldChar w:fldCharType="begin"/>
            </w:r>
            <w:r>
              <w:rPr>
                <w:rFonts w:hint="default" w:ascii="Times New Roman" w:hAnsi="Times New Roman" w:eastAsia="宋体" w:cs="Times New Roman"/>
                <w:color w:val="000000"/>
                <w:sz w:val="24"/>
                <w:szCs w:val="24"/>
                <w:highlight w:val="none"/>
              </w:rPr>
              <w:instrText xml:space="preserve"> = 2 \* ROMAN \* MERGEFORMAT </w:instrText>
            </w:r>
            <w:r>
              <w:rPr>
                <w:rFonts w:hint="default" w:ascii="Times New Roman" w:hAnsi="Times New Roman" w:eastAsia="宋体" w:cs="Times New Roman"/>
                <w:color w:val="000000"/>
                <w:sz w:val="24"/>
                <w:szCs w:val="24"/>
                <w:highlight w:val="none"/>
              </w:rPr>
              <w:fldChar w:fldCharType="separate"/>
            </w:r>
            <w:r>
              <w:rPr>
                <w:rFonts w:hint="default" w:ascii="Times New Roman" w:hAnsi="Times New Roman" w:eastAsia="宋体" w:cs="Times New Roman"/>
                <w:color w:val="000000"/>
                <w:sz w:val="24"/>
                <w:szCs w:val="24"/>
                <w:highlight w:val="none"/>
              </w:rPr>
              <w:t>II</w:t>
            </w:r>
            <w:r>
              <w:rPr>
                <w:rFonts w:hint="default" w:ascii="Times New Roman" w:hAnsi="Times New Roman" w:eastAsia="宋体" w:cs="Times New Roman"/>
                <w:color w:val="000000"/>
                <w:sz w:val="24"/>
                <w:szCs w:val="24"/>
                <w:highlight w:val="none"/>
              </w:rPr>
              <w:fldChar w:fldCharType="end"/>
            </w:r>
            <w:r>
              <w:rPr>
                <w:rFonts w:hint="default" w:ascii="Times New Roman" w:hAnsi="Times New Roman" w:eastAsia="宋体" w:cs="Times New Roman"/>
                <w:color w:val="000000"/>
                <w:sz w:val="24"/>
                <w:szCs w:val="24"/>
                <w:highlight w:val="none"/>
              </w:rPr>
              <w:t>危险废物的暂存要求</w:t>
            </w:r>
          </w:p>
          <w:p w14:paraId="4A6788C6">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000000"/>
                <w:sz w:val="24"/>
                <w:szCs w:val="24"/>
                <w:highlight w:val="none"/>
              </w:rPr>
              <w:t>危险废物堆放场应满足</w:t>
            </w:r>
            <w:r>
              <w:rPr>
                <w:rFonts w:hint="default" w:ascii="Times New Roman" w:hAnsi="Times New Roman" w:eastAsia="宋体" w:cs="Times New Roman"/>
                <w:color w:val="auto"/>
                <w:sz w:val="24"/>
                <w:szCs w:val="24"/>
                <w:highlight w:val="none"/>
              </w:rPr>
              <w:t>GB18597-20</w:t>
            </w:r>
            <w:r>
              <w:rPr>
                <w:rFonts w:hint="eastAsia" w:ascii="Times New Roman" w:hAnsi="Times New Roman"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《危险废物贮存污染控制标准》有关规定：</w:t>
            </w:r>
          </w:p>
          <w:p w14:paraId="63D1CAAE">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a．按GB15562.2-1995《环境保护图形标识－固体废物贮存（处置）场》设置警示标志。</w:t>
            </w:r>
          </w:p>
          <w:p w14:paraId="44418D12">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b．必须有耐腐蚀的硬化地面和基础防渗层，地面无裂隙；设施底部必须高于地下水最高水位。</w:t>
            </w:r>
          </w:p>
          <w:p w14:paraId="19124494">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c．要求必要的防风、防雨、防晒措施。</w:t>
            </w:r>
          </w:p>
          <w:p w14:paraId="44CC7B8B">
            <w:pPr>
              <w:pStyle w:val="63"/>
              <w:keepNext w:val="0"/>
              <w:keepLines w:val="0"/>
              <w:pageBreakBefore w:val="0"/>
              <w:widowControl w:val="0"/>
              <w:suppressLineNumbers w:val="0"/>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d．要有隔离设施或其它防护栅栏。</w:t>
            </w:r>
          </w:p>
          <w:p w14:paraId="384FB851">
            <w:pPr>
              <w:pStyle w:val="63"/>
              <w:keepNext w:val="0"/>
              <w:keepLines w:val="0"/>
              <w:pageBreakBefore w:val="0"/>
              <w:widowControl w:val="0"/>
              <w:suppressLineNumbers w:val="0"/>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e．应配备通讯设备、照明设施、安全防护服装及共聚，并设有报警装置和应急防护设施。</w:t>
            </w:r>
          </w:p>
          <w:p w14:paraId="4720C651">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fldChar w:fldCharType="begin"/>
            </w:r>
            <w:r>
              <w:rPr>
                <w:rFonts w:hint="default" w:ascii="Times New Roman" w:hAnsi="Times New Roman" w:eastAsia="宋体" w:cs="Times New Roman"/>
                <w:color w:val="000000"/>
                <w:sz w:val="24"/>
                <w:szCs w:val="24"/>
                <w:highlight w:val="none"/>
              </w:rPr>
              <w:instrText xml:space="preserve"> = 3 \* ROMAN \* MERGEFORMAT </w:instrText>
            </w:r>
            <w:r>
              <w:rPr>
                <w:rFonts w:hint="default" w:ascii="Times New Roman" w:hAnsi="Times New Roman" w:eastAsia="宋体" w:cs="Times New Roman"/>
                <w:color w:val="000000"/>
                <w:sz w:val="24"/>
                <w:szCs w:val="24"/>
                <w:highlight w:val="none"/>
              </w:rPr>
              <w:fldChar w:fldCharType="separate"/>
            </w:r>
            <w:r>
              <w:rPr>
                <w:rFonts w:hint="default" w:ascii="Times New Roman" w:hAnsi="Times New Roman" w:eastAsia="宋体" w:cs="Times New Roman"/>
                <w:color w:val="000000"/>
                <w:sz w:val="24"/>
                <w:szCs w:val="24"/>
                <w:highlight w:val="none"/>
              </w:rPr>
              <w:t>III</w:t>
            </w:r>
            <w:r>
              <w:rPr>
                <w:rFonts w:hint="default" w:ascii="Times New Roman" w:hAnsi="Times New Roman" w:eastAsia="宋体" w:cs="Times New Roman"/>
                <w:color w:val="000000"/>
                <w:sz w:val="24"/>
                <w:szCs w:val="24"/>
                <w:highlight w:val="none"/>
              </w:rPr>
              <w:fldChar w:fldCharType="end"/>
            </w:r>
            <w:r>
              <w:rPr>
                <w:rFonts w:hint="default" w:ascii="Times New Roman" w:hAnsi="Times New Roman" w:eastAsia="宋体" w:cs="Times New Roman"/>
                <w:color w:val="000000"/>
                <w:sz w:val="24"/>
                <w:szCs w:val="24"/>
                <w:highlight w:val="none"/>
              </w:rPr>
              <w:t>危险废物的运输要求</w:t>
            </w:r>
          </w:p>
          <w:p w14:paraId="7B6828B9">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危险废物转移试行网上申报制度，建设单位应及时登录“福建省固体废物环境监管平台”（http://120.35.30.184），在网上注册真实信息，在线填报并提交危险废物省内转移信息。</w:t>
            </w:r>
          </w:p>
          <w:p w14:paraId="16EBCECE">
            <w:pPr>
              <w:pStyle w:val="63"/>
              <w:keepNext w:val="0"/>
              <w:keepLines w:val="0"/>
              <w:pageBreakBefore w:val="0"/>
              <w:suppressLineNumbers w:val="0"/>
              <w:tabs>
                <w:tab w:val="center" w:pos="4153"/>
                <w:tab w:val="right" w:pos="8306"/>
              </w:tabs>
              <w:kinsoku/>
              <w:wordWrap/>
              <w:overflowPunct/>
              <w:topLinePunct w:val="0"/>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ascii="宋体" w:hAnsi="宋体" w:eastAsia="宋体" w:cs="宋体"/>
                <w:sz w:val="24"/>
                <w:szCs w:val="24"/>
              </w:rPr>
              <w:t>项目产生的危险废物主要为废活性炭、废菲林片、</w:t>
            </w:r>
            <w:r>
              <w:rPr>
                <w:rFonts w:hint="eastAsia" w:ascii="宋体" w:hAnsi="宋体" w:eastAsia="宋体" w:cs="宋体"/>
                <w:sz w:val="24"/>
                <w:szCs w:val="24"/>
                <w:lang w:eastAsia="zh-CN"/>
              </w:rPr>
              <w:t>原料</w:t>
            </w:r>
            <w:r>
              <w:rPr>
                <w:rFonts w:ascii="宋体" w:hAnsi="宋体" w:eastAsia="宋体" w:cs="宋体"/>
                <w:sz w:val="24"/>
                <w:szCs w:val="24"/>
              </w:rPr>
              <w:t>空桶</w:t>
            </w:r>
            <w:r>
              <w:rPr>
                <w:rFonts w:hint="eastAsia" w:ascii="宋体" w:hAnsi="宋体" w:cs="宋体"/>
                <w:sz w:val="24"/>
                <w:szCs w:val="24"/>
                <w:lang w:eastAsia="zh-CN"/>
              </w:rPr>
              <w:t>、</w:t>
            </w:r>
            <w:r>
              <w:rPr>
                <w:rFonts w:hint="eastAsia" w:ascii="宋体" w:hAnsi="宋体" w:eastAsia="宋体" w:cs="宋体"/>
                <w:sz w:val="24"/>
                <w:szCs w:val="24"/>
                <w:lang w:eastAsia="zh-CN"/>
              </w:rPr>
              <w:t>废丝印版框、沉淀污泥</w:t>
            </w:r>
            <w:r>
              <w:rPr>
                <w:rFonts w:hint="eastAsia" w:ascii="宋体" w:hAnsi="宋体" w:cs="宋体"/>
                <w:sz w:val="24"/>
                <w:szCs w:val="24"/>
                <w:lang w:eastAsia="zh-CN"/>
              </w:rPr>
              <w:t>、破损、变形的原料空桶</w:t>
            </w:r>
            <w:r>
              <w:rPr>
                <w:rFonts w:hint="eastAsia" w:ascii="宋体" w:hAnsi="宋体" w:eastAsia="宋体" w:cs="宋体"/>
                <w:sz w:val="24"/>
                <w:szCs w:val="24"/>
                <w:lang w:eastAsia="zh-CN"/>
              </w:rPr>
              <w:t>，</w:t>
            </w:r>
            <w:r>
              <w:rPr>
                <w:rFonts w:ascii="宋体" w:hAnsi="宋体" w:eastAsia="宋体" w:cs="宋体"/>
                <w:sz w:val="24"/>
                <w:szCs w:val="24"/>
              </w:rPr>
              <w:t>常温 常压下为固体、不水解、不挥发，且存放于专用的密封桶内并在下方放置防渗托盘，因此</w:t>
            </w:r>
            <w:r>
              <w:rPr>
                <w:rFonts w:hint="eastAsia" w:cs="Times New Roman"/>
                <w:color w:val="000000"/>
                <w:sz w:val="24"/>
                <w:szCs w:val="24"/>
                <w:highlight w:val="none"/>
                <w:lang w:eastAsia="zh-CN"/>
              </w:rPr>
              <w:t>项目危险废物贮存、运输过程中不易产生</w:t>
            </w:r>
            <w:r>
              <w:rPr>
                <w:rFonts w:hint="eastAsia" w:cs="Times New Roman"/>
                <w:color w:val="000000"/>
                <w:sz w:val="24"/>
                <w:szCs w:val="24"/>
                <w:highlight w:val="none"/>
                <w:lang w:val="en-US" w:eastAsia="zh-CN"/>
              </w:rPr>
              <w:t>VOCs废气，</w:t>
            </w:r>
            <w:r>
              <w:rPr>
                <w:rFonts w:ascii="宋体" w:hAnsi="宋体" w:eastAsia="宋体" w:cs="宋体"/>
                <w:sz w:val="24"/>
                <w:szCs w:val="24"/>
              </w:rPr>
              <w:t>无需设置气体收集装置和气体净化设施。</w:t>
            </w:r>
          </w:p>
          <w:p w14:paraId="7C3D1E35">
            <w:pPr>
              <w:pStyle w:val="56"/>
              <w:keepNext w:val="0"/>
              <w:keepLines w:val="0"/>
              <w:pageBreakBefore w:val="0"/>
              <w:widowControl w:val="0"/>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4.5地下水、土壤影响及防范措施</w:t>
            </w:r>
          </w:p>
          <w:p w14:paraId="5BF98F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eastAsia" w:ascii="Times New Roman" w:hAnsi="Times New Roman" w:cs="Times New Roman"/>
                <w:sz w:val="24"/>
                <w:szCs w:val="24"/>
                <w:highlight w:val="none"/>
                <w:lang w:eastAsia="zh-CN"/>
              </w:rPr>
              <w:t>本</w:t>
            </w:r>
            <w:r>
              <w:rPr>
                <w:rFonts w:hint="default" w:ascii="Times New Roman" w:hAnsi="Times New Roman" w:cs="Times New Roman"/>
                <w:sz w:val="24"/>
                <w:szCs w:val="24"/>
                <w:highlight w:val="none"/>
                <w:lang w:eastAsia="zh-CN"/>
              </w:rPr>
              <w:t>项目主要从事</w:t>
            </w:r>
            <w:r>
              <w:rPr>
                <w:rFonts w:hint="eastAsia" w:ascii="Times New Roman" w:hAnsi="Times New Roman" w:cs="Times New Roman"/>
                <w:sz w:val="24"/>
                <w:szCs w:val="24"/>
                <w:highlight w:val="none"/>
                <w:lang w:eastAsia="zh-CN"/>
              </w:rPr>
              <w:t>布料的丝印加工</w:t>
            </w:r>
            <w:r>
              <w:rPr>
                <w:rFonts w:hint="default" w:ascii="Times New Roman" w:hAnsi="Times New Roman" w:cs="Times New Roman"/>
                <w:sz w:val="24"/>
                <w:szCs w:val="24"/>
                <w:highlight w:val="none"/>
                <w:lang w:eastAsia="zh-CN"/>
              </w:rPr>
              <w:t>，根据项目生产及建设情况，项目生产车间及一般固废暂存区地面均设置水泥硬化</w:t>
            </w:r>
            <w:r>
              <w:rPr>
                <w:rFonts w:hint="eastAsia" w:ascii="Times New Roman" w:hAnsi="Times New Roman" w:cs="Times New Roman"/>
                <w:sz w:val="24"/>
                <w:szCs w:val="24"/>
                <w:highlight w:val="none"/>
                <w:lang w:eastAsia="zh-CN"/>
              </w:rPr>
              <w:t>，原辅材料和成品储存在规范的仓储区，项目生产均在密闭的建设厂房内。危废暂存间设置在</w:t>
            </w:r>
            <w:r>
              <w:rPr>
                <w:rFonts w:hint="eastAsia" w:ascii="Times New Roman" w:hAnsi="Times New Roman" w:cs="Times New Roman"/>
                <w:sz w:val="24"/>
                <w:szCs w:val="24"/>
                <w:highlight w:val="none"/>
                <w:lang w:val="en-US" w:eastAsia="zh-CN"/>
              </w:rPr>
              <w:t>1F，同时做好防渗、围堰等措施，</w:t>
            </w:r>
            <w:r>
              <w:rPr>
                <w:rFonts w:hint="eastAsia" w:ascii="Times New Roman" w:hAnsi="Times New Roman" w:cs="Times New Roman"/>
                <w:sz w:val="24"/>
                <w:szCs w:val="24"/>
                <w:highlight w:val="none"/>
                <w:lang w:eastAsia="zh-CN"/>
              </w:rPr>
              <w:t>正常情况下不会出现降水入渗或原料泄漏，一般不会出现地下水、土壤环境污染</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项目在生产运营期间，加强车间管理，对员工进行培训，确保生产过程中不会发生物料泄漏，若发生</w:t>
            </w:r>
            <w:r>
              <w:rPr>
                <w:rFonts w:hint="default" w:ascii="Times New Roman" w:hAnsi="Times New Roman" w:cs="Times New Roman"/>
                <w:sz w:val="24"/>
                <w:szCs w:val="24"/>
                <w:highlight w:val="none"/>
                <w:lang w:eastAsia="zh-CN"/>
              </w:rPr>
              <w:t>地面破裂应及时更换或修补。通过采取上述措施，本项目建设对周边地下水</w:t>
            </w:r>
            <w:r>
              <w:rPr>
                <w:rFonts w:hint="eastAsia" w:ascii="Times New Roman" w:hAnsi="Times New Roman" w:cs="Times New Roman"/>
                <w:sz w:val="24"/>
                <w:szCs w:val="24"/>
                <w:highlight w:val="none"/>
                <w:lang w:eastAsia="zh-CN"/>
              </w:rPr>
              <w:t>、土壤</w:t>
            </w:r>
            <w:r>
              <w:rPr>
                <w:rFonts w:hint="default" w:ascii="Times New Roman" w:hAnsi="Times New Roman" w:cs="Times New Roman"/>
                <w:sz w:val="24"/>
                <w:szCs w:val="24"/>
                <w:highlight w:val="none"/>
                <w:lang w:eastAsia="zh-CN"/>
              </w:rPr>
              <w:t>环境基本没有影响。</w:t>
            </w:r>
          </w:p>
          <w:p w14:paraId="3767F899">
            <w:pPr>
              <w:pStyle w:val="56"/>
              <w:keepNext w:val="0"/>
              <w:keepLines w:val="0"/>
              <w:pageBreakBefore w:val="0"/>
              <w:widowControl w:val="0"/>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4.6环境风险影响</w:t>
            </w:r>
          </w:p>
          <w:p w14:paraId="7B68A370">
            <w:pPr>
              <w:autoSpaceDE w:val="0"/>
              <w:adjustRightInd w:val="0"/>
              <w:snapToGrid w:val="0"/>
              <w:spacing w:line="360" w:lineRule="auto"/>
              <w:ind w:firstLine="480" w:firstLineChars="200"/>
              <w:rPr>
                <w:sz w:val="24"/>
                <w:szCs w:val="24"/>
                <w:highlight w:val="none"/>
              </w:rPr>
            </w:pPr>
            <w:r>
              <w:rPr>
                <w:sz w:val="24"/>
                <w:szCs w:val="24"/>
                <w:highlight w:val="none"/>
              </w:rPr>
              <w:t>环境风险主要考察风险事故对外环境的影响。环境风险就其发散成因可分为三类：火灾、爆炸和泄漏，而火灾和爆炸事故本身属于安全事故范畴，火灾和爆炸的次生、伴生污染物如燃烧产物和消防废水则构成了火灾和爆炸事故的环境风险；有毒物质的泄漏事故属于环境风险的范畴。</w:t>
            </w:r>
          </w:p>
          <w:p w14:paraId="0CA1AD4B">
            <w:pPr>
              <w:autoSpaceDE w:val="0"/>
              <w:adjustRightInd w:val="0"/>
              <w:snapToGrid w:val="0"/>
              <w:spacing w:line="360" w:lineRule="auto"/>
              <w:ind w:firstLine="480" w:firstLineChars="200"/>
              <w:rPr>
                <w:sz w:val="24"/>
                <w:szCs w:val="24"/>
                <w:highlight w:val="none"/>
              </w:rPr>
            </w:pPr>
            <w:r>
              <w:rPr>
                <w:sz w:val="24"/>
                <w:szCs w:val="24"/>
                <w:highlight w:val="none"/>
              </w:rPr>
              <w:t>根据HJ169-2018《建设项目环境风险评价技术导则》附录 B.1、附录 B.2 及GB18218-2018《危险化学品重大危险源辨识》中对各种化学品毒性分级，结合对该项目原辅料、污染物、产品等的理化性质分析，对项目所涉及的化学品进行物质危险性判定。</w:t>
            </w:r>
          </w:p>
          <w:p w14:paraId="71271F74">
            <w:pPr>
              <w:numPr>
                <w:ilvl w:val="0"/>
                <w:numId w:val="0"/>
              </w:numPr>
              <w:autoSpaceDE w:val="0"/>
              <w:adjustRightInd w:val="0"/>
              <w:snapToGrid w:val="0"/>
              <w:spacing w:before="0" w:beforeLines="0" w:line="360" w:lineRule="auto"/>
              <w:ind w:firstLine="480" w:firstLineChars="200"/>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eastAsia="zh-CN"/>
              </w:rPr>
              <w:t>）环境风险分析</w:t>
            </w:r>
          </w:p>
          <w:p w14:paraId="7EBEEB13">
            <w:pPr>
              <w:keepLines w:val="0"/>
              <w:pageBreakBefore w:val="0"/>
              <w:widowControl w:val="0"/>
              <w:kinsoku/>
              <w:wordWrap/>
              <w:topLinePunct w:val="0"/>
              <w:autoSpaceDE w:val="0"/>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szCs w:val="24"/>
                <w:highlight w:val="none"/>
                <w:lang w:eastAsia="zh-CN"/>
              </w:rPr>
              <w:t>项目主要从事</w:t>
            </w:r>
            <w:r>
              <w:rPr>
                <w:rFonts w:hint="eastAsia" w:cs="Times New Roman"/>
                <w:color w:val="000000"/>
                <w:sz w:val="24"/>
                <w:szCs w:val="24"/>
                <w:highlight w:val="none"/>
                <w:lang w:val="en-US" w:eastAsia="zh-CN"/>
              </w:rPr>
              <w:t>布料的丝印加工</w:t>
            </w:r>
            <w:r>
              <w:rPr>
                <w:rFonts w:hint="default" w:ascii="Times New Roman" w:hAnsi="Times New Roman" w:eastAsia="宋体" w:cs="Times New Roman"/>
                <w:color w:val="000000"/>
                <w:sz w:val="24"/>
                <w:szCs w:val="24"/>
                <w:highlight w:val="none"/>
                <w:lang w:eastAsia="zh-CN"/>
              </w:rPr>
              <w:t>，根据项目原辅材料分析，对照</w:t>
            </w:r>
            <w:r>
              <w:rPr>
                <w:rFonts w:hint="default" w:ascii="Times New Roman" w:hAnsi="Times New Roman" w:eastAsia="宋体" w:cs="Times New Roman"/>
                <w:color w:val="000000"/>
                <w:sz w:val="24"/>
                <w:szCs w:val="24"/>
                <w:highlight w:val="none"/>
                <w:lang w:val="en-US" w:eastAsia="zh-CN"/>
              </w:rPr>
              <w:t>HJ169-2018《建设项目环境风险评价技术导则》，</w:t>
            </w:r>
            <w:r>
              <w:rPr>
                <w:rFonts w:hint="default" w:ascii="Times New Roman" w:hAnsi="Times New Roman" w:eastAsia="宋体" w:cs="Times New Roman"/>
                <w:color w:val="000000"/>
                <w:sz w:val="24"/>
                <w:highlight w:val="none"/>
              </w:rPr>
              <w:t>项目涉及的危险物质</w:t>
            </w:r>
            <w:r>
              <w:rPr>
                <w:rFonts w:hint="eastAsia" w:eastAsia="宋体" w:cs="Times New Roman"/>
                <w:b w:val="0"/>
                <w:bCs w:val="0"/>
                <w:color w:val="000000"/>
                <w:sz w:val="24"/>
                <w:szCs w:val="24"/>
                <w:highlight w:val="none"/>
                <w:lang w:eastAsia="zh-CN"/>
              </w:rPr>
              <w:t>胶浆、固浆</w:t>
            </w:r>
            <w:r>
              <w:rPr>
                <w:rFonts w:hint="eastAsia" w:eastAsia="宋体" w:cs="Times New Roman"/>
                <w:color w:val="000000"/>
                <w:sz w:val="24"/>
                <w:szCs w:val="24"/>
                <w:highlight w:val="none"/>
                <w:lang w:val="en-US" w:eastAsia="zh-CN"/>
              </w:rPr>
              <w:t>、色种、感光胶</w:t>
            </w:r>
            <w:r>
              <w:rPr>
                <w:rFonts w:hint="eastAsia" w:cs="Times New Roman"/>
                <w:color w:val="000000"/>
                <w:sz w:val="24"/>
                <w:szCs w:val="24"/>
                <w:highlight w:val="none"/>
                <w:lang w:val="en-US" w:eastAsia="zh-CN"/>
              </w:rPr>
              <w:t>、废菲林片、废丝印版框、沉淀污泥、废活性炭</w:t>
            </w:r>
            <w:r>
              <w:rPr>
                <w:rFonts w:hint="default" w:ascii="Times New Roman" w:hAnsi="Times New Roman" w:eastAsia="宋体" w:cs="Times New Roman"/>
                <w:color w:val="000000"/>
                <w:sz w:val="24"/>
                <w:highlight w:val="none"/>
              </w:rPr>
              <w:t>主要对环境存在的风险为火灾危险和毒物危害。</w:t>
            </w:r>
          </w:p>
          <w:p w14:paraId="61F7786C">
            <w:pPr>
              <w:pStyle w:val="85"/>
              <w:keepNext w:val="0"/>
              <w:keepLines w:val="0"/>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eastAsia="宋体" w:cs="Times New Roman"/>
                <w:b/>
                <w:bCs/>
                <w:color w:val="000000"/>
                <w:highlight w:val="none"/>
                <w:lang w:val="en-US" w:eastAsia="zh-CN"/>
              </w:rPr>
            </w:pPr>
            <w:r>
              <w:rPr>
                <w:rFonts w:hint="default" w:ascii="Times New Roman" w:hAnsi="Times New Roman" w:eastAsia="宋体" w:cs="Times New Roman"/>
                <w:b/>
                <w:bCs/>
                <w:color w:val="000000"/>
                <w:highlight w:val="none"/>
              </w:rPr>
              <w:t>表4-</w:t>
            </w:r>
            <w:r>
              <w:rPr>
                <w:rFonts w:hint="eastAsia" w:ascii="Times New Roman" w:hAnsi="Times New Roman" w:eastAsia="宋体" w:cs="Times New Roman"/>
                <w:b/>
                <w:bCs/>
                <w:color w:val="000000"/>
                <w:highlight w:val="none"/>
                <w:lang w:val="en-US" w:eastAsia="zh-CN"/>
              </w:rPr>
              <w:t>2</w:t>
            </w:r>
            <w:r>
              <w:rPr>
                <w:rFonts w:hint="eastAsia" w:eastAsia="宋体" w:cs="Times New Roman"/>
                <w:b/>
                <w:bCs/>
                <w:color w:val="000000"/>
                <w:highlight w:val="none"/>
                <w:lang w:val="en-US" w:eastAsia="zh-CN"/>
              </w:rPr>
              <w:t>3</w:t>
            </w:r>
            <w:r>
              <w:rPr>
                <w:rFonts w:hint="eastAsia" w:ascii="Times New Roman" w:hAnsi="Times New Roman" w:eastAsia="宋体" w:cs="Times New Roman"/>
                <w:b/>
                <w:bCs/>
                <w:color w:val="000000"/>
                <w:highlight w:val="none"/>
                <w:lang w:val="en-US" w:eastAsia="zh-CN"/>
              </w:rPr>
              <w:t xml:space="preserve"> </w:t>
            </w:r>
            <w:r>
              <w:rPr>
                <w:rFonts w:hint="default" w:ascii="Times New Roman" w:hAnsi="Times New Roman" w:eastAsia="宋体" w:cs="Times New Roman"/>
                <w:b/>
                <w:bCs/>
                <w:color w:val="000000"/>
                <w:sz w:val="24"/>
                <w:szCs w:val="24"/>
                <w:highlight w:val="none"/>
              </w:rPr>
              <w:t>其它危险物质临界量推荐值</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7"/>
              <w:gridCol w:w="4448"/>
              <w:gridCol w:w="2440"/>
            </w:tblGrid>
            <w:tr w14:paraId="13601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tcBorders>
                    <w:top w:val="single" w:color="auto" w:sz="12" w:space="0"/>
                    <w:left w:val="nil"/>
                    <w:bottom w:val="single" w:color="auto" w:sz="4" w:space="0"/>
                    <w:right w:val="single" w:color="auto" w:sz="4" w:space="0"/>
                  </w:tcBorders>
                  <w:noWrap w:val="0"/>
                  <w:vAlign w:val="center"/>
                </w:tcPr>
                <w:p w14:paraId="26B8F37A">
                  <w:pPr>
                    <w:pStyle w:val="9"/>
                    <w:widowControl w:val="0"/>
                    <w:ind w:firstLine="0" w:firstLineChars="0"/>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序号</w:t>
                  </w:r>
                </w:p>
              </w:tc>
              <w:tc>
                <w:tcPr>
                  <w:tcW w:w="2842" w:type="pct"/>
                  <w:tcBorders>
                    <w:top w:val="single" w:color="auto" w:sz="12" w:space="0"/>
                    <w:left w:val="single" w:color="auto" w:sz="4" w:space="0"/>
                    <w:bottom w:val="single" w:color="auto" w:sz="4" w:space="0"/>
                    <w:right w:val="single" w:color="auto" w:sz="4" w:space="0"/>
                  </w:tcBorders>
                  <w:noWrap w:val="0"/>
                  <w:vAlign w:val="center"/>
                </w:tcPr>
                <w:p w14:paraId="3CE09BB8">
                  <w:pPr>
                    <w:pStyle w:val="9"/>
                    <w:widowControl w:val="0"/>
                    <w:ind w:firstLine="0" w:firstLineChars="0"/>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物质</w:t>
                  </w:r>
                </w:p>
              </w:tc>
              <w:tc>
                <w:tcPr>
                  <w:tcW w:w="1557" w:type="pct"/>
                  <w:tcBorders>
                    <w:top w:val="single" w:color="auto" w:sz="12" w:space="0"/>
                    <w:left w:val="single" w:color="auto" w:sz="4" w:space="0"/>
                    <w:bottom w:val="single" w:color="auto" w:sz="4" w:space="0"/>
                    <w:right w:val="nil"/>
                  </w:tcBorders>
                  <w:noWrap w:val="0"/>
                  <w:vAlign w:val="center"/>
                </w:tcPr>
                <w:p w14:paraId="2D86A74B">
                  <w:pPr>
                    <w:pStyle w:val="9"/>
                    <w:widowControl w:val="0"/>
                    <w:ind w:firstLine="0" w:firstLineChars="0"/>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推荐临界量/t</w:t>
                  </w:r>
                </w:p>
              </w:tc>
            </w:tr>
            <w:tr w14:paraId="29A3D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tcBorders>
                    <w:top w:val="single" w:color="auto" w:sz="4" w:space="0"/>
                    <w:left w:val="nil"/>
                    <w:bottom w:val="single" w:color="auto" w:sz="4" w:space="0"/>
                    <w:right w:val="single" w:color="auto" w:sz="4" w:space="0"/>
                  </w:tcBorders>
                  <w:noWrap w:val="0"/>
                  <w:vAlign w:val="center"/>
                </w:tcPr>
                <w:p w14:paraId="4E7443F6">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2842" w:type="pct"/>
                  <w:tcBorders>
                    <w:top w:val="single" w:color="auto" w:sz="4" w:space="0"/>
                    <w:left w:val="single" w:color="auto" w:sz="4" w:space="0"/>
                    <w:bottom w:val="single" w:color="auto" w:sz="4" w:space="0"/>
                    <w:right w:val="single" w:color="auto" w:sz="4" w:space="0"/>
                  </w:tcBorders>
                  <w:noWrap w:val="0"/>
                  <w:vAlign w:val="center"/>
                </w:tcPr>
                <w:p w14:paraId="364C4C30">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健康危险急性毒性物质（类别1）</w:t>
                  </w:r>
                </w:p>
              </w:tc>
              <w:tc>
                <w:tcPr>
                  <w:tcW w:w="1557" w:type="pct"/>
                  <w:tcBorders>
                    <w:top w:val="single" w:color="auto" w:sz="4" w:space="0"/>
                    <w:left w:val="single" w:color="auto" w:sz="4" w:space="0"/>
                    <w:bottom w:val="single" w:color="auto" w:sz="4" w:space="0"/>
                    <w:right w:val="nil"/>
                  </w:tcBorders>
                  <w:noWrap w:val="0"/>
                  <w:vAlign w:val="center"/>
                </w:tcPr>
                <w:p w14:paraId="41458DE6">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w:t>
                  </w:r>
                </w:p>
              </w:tc>
            </w:tr>
            <w:tr w14:paraId="6FD72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tcBorders>
                    <w:top w:val="single" w:color="auto" w:sz="4" w:space="0"/>
                    <w:left w:val="nil"/>
                    <w:bottom w:val="single" w:color="auto" w:sz="4" w:space="0"/>
                    <w:right w:val="single" w:color="auto" w:sz="4" w:space="0"/>
                  </w:tcBorders>
                  <w:noWrap w:val="0"/>
                  <w:vAlign w:val="center"/>
                </w:tcPr>
                <w:p w14:paraId="0A9D00A7">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w:t>
                  </w:r>
                </w:p>
              </w:tc>
              <w:tc>
                <w:tcPr>
                  <w:tcW w:w="2842" w:type="pct"/>
                  <w:tcBorders>
                    <w:top w:val="single" w:color="auto" w:sz="4" w:space="0"/>
                    <w:left w:val="single" w:color="auto" w:sz="4" w:space="0"/>
                    <w:bottom w:val="single" w:color="auto" w:sz="4" w:space="0"/>
                    <w:right w:val="single" w:color="auto" w:sz="4" w:space="0"/>
                  </w:tcBorders>
                  <w:noWrap w:val="0"/>
                  <w:vAlign w:val="center"/>
                </w:tcPr>
                <w:p w14:paraId="60A22DD9">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健康危险急性毒性物质（类别2，类别3）</w:t>
                  </w:r>
                </w:p>
              </w:tc>
              <w:tc>
                <w:tcPr>
                  <w:tcW w:w="1557" w:type="pct"/>
                  <w:tcBorders>
                    <w:top w:val="single" w:color="auto" w:sz="4" w:space="0"/>
                    <w:left w:val="single" w:color="auto" w:sz="4" w:space="0"/>
                    <w:bottom w:val="single" w:color="auto" w:sz="4" w:space="0"/>
                    <w:right w:val="nil"/>
                  </w:tcBorders>
                  <w:noWrap w:val="0"/>
                  <w:vAlign w:val="center"/>
                </w:tcPr>
                <w:p w14:paraId="3AC85EED">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50</w:t>
                  </w:r>
                </w:p>
              </w:tc>
            </w:tr>
            <w:tr w14:paraId="74DC8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tcBorders>
                    <w:top w:val="single" w:color="auto" w:sz="4" w:space="0"/>
                    <w:left w:val="nil"/>
                    <w:bottom w:val="single" w:color="auto" w:sz="4" w:space="0"/>
                    <w:right w:val="single" w:color="auto" w:sz="4" w:space="0"/>
                  </w:tcBorders>
                  <w:noWrap w:val="0"/>
                  <w:vAlign w:val="center"/>
                </w:tcPr>
                <w:p w14:paraId="7138E040">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w:t>
                  </w:r>
                </w:p>
              </w:tc>
              <w:tc>
                <w:tcPr>
                  <w:tcW w:w="2842" w:type="pct"/>
                  <w:tcBorders>
                    <w:top w:val="single" w:color="auto" w:sz="4" w:space="0"/>
                    <w:left w:val="single" w:color="auto" w:sz="4" w:space="0"/>
                    <w:bottom w:val="single" w:color="auto" w:sz="4" w:space="0"/>
                    <w:right w:val="single" w:color="auto" w:sz="4" w:space="0"/>
                  </w:tcBorders>
                  <w:noWrap w:val="0"/>
                  <w:vAlign w:val="center"/>
                </w:tcPr>
                <w:p w14:paraId="683F3DBF">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危害水环境物质（急性毒性物质类别1）</w:t>
                  </w:r>
                </w:p>
              </w:tc>
              <w:tc>
                <w:tcPr>
                  <w:tcW w:w="1557" w:type="pct"/>
                  <w:tcBorders>
                    <w:top w:val="single" w:color="auto" w:sz="4" w:space="0"/>
                    <w:left w:val="single" w:color="auto" w:sz="4" w:space="0"/>
                    <w:bottom w:val="single" w:color="auto" w:sz="4" w:space="0"/>
                    <w:right w:val="nil"/>
                  </w:tcBorders>
                  <w:noWrap w:val="0"/>
                  <w:vAlign w:val="center"/>
                </w:tcPr>
                <w:p w14:paraId="7DCDDB80">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100</w:t>
                  </w:r>
                </w:p>
              </w:tc>
            </w:tr>
            <w:tr w14:paraId="46F40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tcBorders>
                    <w:top w:val="single" w:color="auto" w:sz="4" w:space="0"/>
                    <w:left w:val="nil"/>
                    <w:bottom w:val="single" w:color="auto" w:sz="12" w:space="0"/>
                    <w:right w:val="nil"/>
                  </w:tcBorders>
                  <w:noWrap w:val="0"/>
                  <w:vAlign w:val="center"/>
                </w:tcPr>
                <w:p w14:paraId="053D053F">
                  <w:pPr>
                    <w:pStyle w:val="9"/>
                    <w:widowControl w:val="0"/>
                    <w:ind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注：健康危害急性毒性物质分类见GB3000.18，危害水环境物质分类见GB30000.28。该类物质临界量参考欧盟《赛维索指令III》（2012/18/EU）。</w:t>
                  </w:r>
                </w:p>
              </w:tc>
            </w:tr>
          </w:tbl>
          <w:p w14:paraId="04278B5F">
            <w:pPr>
              <w:pStyle w:val="85"/>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b/>
                <w:bCs/>
                <w:color w:val="000000"/>
                <w:highlight w:val="none"/>
              </w:rPr>
            </w:pPr>
            <w:r>
              <w:rPr>
                <w:rFonts w:hint="default" w:ascii="Times New Roman" w:hAnsi="Times New Roman" w:eastAsia="宋体" w:cs="Times New Roman"/>
                <w:b/>
                <w:bCs/>
                <w:color w:val="000000"/>
                <w:highlight w:val="none"/>
              </w:rPr>
              <w:t>表4-</w:t>
            </w:r>
            <w:r>
              <w:rPr>
                <w:rFonts w:hint="eastAsia" w:ascii="Times New Roman" w:hAnsi="Times New Roman" w:eastAsia="宋体" w:cs="Times New Roman"/>
                <w:b/>
                <w:bCs/>
                <w:color w:val="000000"/>
                <w:highlight w:val="none"/>
                <w:lang w:val="en-US" w:eastAsia="zh-CN"/>
              </w:rPr>
              <w:t>2</w:t>
            </w:r>
            <w:r>
              <w:rPr>
                <w:rFonts w:hint="eastAsia" w:eastAsia="宋体" w:cs="Times New Roman"/>
                <w:b/>
                <w:bCs/>
                <w:color w:val="000000"/>
                <w:highlight w:val="none"/>
                <w:lang w:val="en-US" w:eastAsia="zh-CN"/>
              </w:rPr>
              <w:t>4</w:t>
            </w:r>
            <w:r>
              <w:rPr>
                <w:rFonts w:hint="eastAsia" w:ascii="Times New Roman" w:hAnsi="Times New Roman" w:eastAsia="宋体" w:cs="Times New Roman"/>
                <w:b/>
                <w:bCs/>
                <w:color w:val="000000"/>
                <w:highlight w:val="none"/>
                <w:lang w:val="en-US" w:eastAsia="zh-CN"/>
              </w:rPr>
              <w:t xml:space="preserve"> </w:t>
            </w:r>
            <w:r>
              <w:rPr>
                <w:rFonts w:hint="default" w:ascii="Times New Roman" w:hAnsi="Times New Roman" w:eastAsia="宋体" w:cs="Times New Roman"/>
                <w:b/>
                <w:bCs/>
                <w:color w:val="000000"/>
                <w:sz w:val="24"/>
                <w:szCs w:val="24"/>
                <w:highlight w:val="none"/>
              </w:rPr>
              <w:t>健康危害急性毒性物质分类</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117"/>
              <w:gridCol w:w="1117"/>
              <w:gridCol w:w="1117"/>
              <w:gridCol w:w="1117"/>
              <w:gridCol w:w="1117"/>
              <w:gridCol w:w="1122"/>
            </w:tblGrid>
            <w:tr w14:paraId="34552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tcBorders>
                    <w:top w:val="single" w:color="auto" w:sz="12" w:space="0"/>
                    <w:left w:val="nil"/>
                    <w:bottom w:val="single" w:color="auto" w:sz="4" w:space="0"/>
                    <w:right w:val="single" w:color="auto" w:sz="4" w:space="0"/>
                  </w:tcBorders>
                  <w:noWrap w:val="0"/>
                  <w:vAlign w:val="center"/>
                </w:tcPr>
                <w:p w14:paraId="601EDE23">
                  <w:pPr>
                    <w:pStyle w:val="9"/>
                    <w:widowControl w:val="0"/>
                    <w:ind w:firstLine="0" w:firstLineChars="0"/>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接触途径</w:t>
                  </w:r>
                </w:p>
              </w:tc>
              <w:tc>
                <w:tcPr>
                  <w:tcW w:w="714" w:type="pct"/>
                  <w:tcBorders>
                    <w:top w:val="single" w:color="auto" w:sz="12" w:space="0"/>
                    <w:left w:val="single" w:color="auto" w:sz="4" w:space="0"/>
                    <w:bottom w:val="single" w:color="auto" w:sz="4" w:space="0"/>
                    <w:right w:val="single" w:color="auto" w:sz="4" w:space="0"/>
                  </w:tcBorders>
                  <w:noWrap w:val="0"/>
                  <w:vAlign w:val="center"/>
                </w:tcPr>
                <w:p w14:paraId="0994EF8E">
                  <w:pPr>
                    <w:pStyle w:val="9"/>
                    <w:widowControl w:val="0"/>
                    <w:ind w:firstLine="0" w:firstLineChars="0"/>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单位</w:t>
                  </w:r>
                </w:p>
              </w:tc>
              <w:tc>
                <w:tcPr>
                  <w:tcW w:w="714" w:type="pct"/>
                  <w:tcBorders>
                    <w:top w:val="single" w:color="auto" w:sz="12" w:space="0"/>
                    <w:left w:val="single" w:color="auto" w:sz="4" w:space="0"/>
                    <w:bottom w:val="single" w:color="auto" w:sz="4" w:space="0"/>
                    <w:right w:val="single" w:color="auto" w:sz="4" w:space="0"/>
                  </w:tcBorders>
                  <w:noWrap w:val="0"/>
                  <w:vAlign w:val="center"/>
                </w:tcPr>
                <w:p w14:paraId="11AFA589">
                  <w:pPr>
                    <w:pStyle w:val="9"/>
                    <w:widowControl w:val="0"/>
                    <w:ind w:firstLine="0" w:firstLineChars="0"/>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类别1</w:t>
                  </w:r>
                </w:p>
              </w:tc>
              <w:tc>
                <w:tcPr>
                  <w:tcW w:w="714" w:type="pct"/>
                  <w:tcBorders>
                    <w:top w:val="single" w:color="auto" w:sz="12" w:space="0"/>
                    <w:left w:val="single" w:color="auto" w:sz="4" w:space="0"/>
                    <w:bottom w:val="single" w:color="auto" w:sz="4" w:space="0"/>
                    <w:right w:val="single" w:color="auto" w:sz="4" w:space="0"/>
                  </w:tcBorders>
                  <w:noWrap w:val="0"/>
                  <w:vAlign w:val="center"/>
                </w:tcPr>
                <w:p w14:paraId="1643D0F1">
                  <w:pPr>
                    <w:pStyle w:val="9"/>
                    <w:widowControl w:val="0"/>
                    <w:ind w:firstLine="0" w:firstLineChars="0"/>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类别2</w:t>
                  </w:r>
                </w:p>
              </w:tc>
              <w:tc>
                <w:tcPr>
                  <w:tcW w:w="714" w:type="pct"/>
                  <w:tcBorders>
                    <w:top w:val="single" w:color="auto" w:sz="12" w:space="0"/>
                    <w:left w:val="single" w:color="auto" w:sz="4" w:space="0"/>
                    <w:bottom w:val="single" w:color="auto" w:sz="4" w:space="0"/>
                    <w:right w:val="single" w:color="auto" w:sz="4" w:space="0"/>
                  </w:tcBorders>
                  <w:noWrap w:val="0"/>
                  <w:vAlign w:val="center"/>
                </w:tcPr>
                <w:p w14:paraId="11BC28B5">
                  <w:pPr>
                    <w:pStyle w:val="9"/>
                    <w:widowControl w:val="0"/>
                    <w:ind w:firstLine="0" w:firstLineChars="0"/>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类别3</w:t>
                  </w:r>
                </w:p>
              </w:tc>
              <w:tc>
                <w:tcPr>
                  <w:tcW w:w="714" w:type="pct"/>
                  <w:tcBorders>
                    <w:top w:val="single" w:color="auto" w:sz="12" w:space="0"/>
                    <w:left w:val="single" w:color="auto" w:sz="4" w:space="0"/>
                    <w:bottom w:val="single" w:color="auto" w:sz="4" w:space="0"/>
                    <w:right w:val="single" w:color="auto" w:sz="4" w:space="0"/>
                  </w:tcBorders>
                  <w:noWrap w:val="0"/>
                  <w:vAlign w:val="center"/>
                </w:tcPr>
                <w:p w14:paraId="0010E27A">
                  <w:pPr>
                    <w:pStyle w:val="9"/>
                    <w:widowControl w:val="0"/>
                    <w:ind w:firstLine="0" w:firstLineChars="0"/>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类别4</w:t>
                  </w:r>
                </w:p>
              </w:tc>
              <w:tc>
                <w:tcPr>
                  <w:tcW w:w="714" w:type="pct"/>
                  <w:tcBorders>
                    <w:top w:val="single" w:color="auto" w:sz="12" w:space="0"/>
                    <w:left w:val="single" w:color="auto" w:sz="4" w:space="0"/>
                    <w:bottom w:val="single" w:color="auto" w:sz="4" w:space="0"/>
                    <w:right w:val="nil"/>
                  </w:tcBorders>
                  <w:noWrap w:val="0"/>
                  <w:vAlign w:val="center"/>
                </w:tcPr>
                <w:p w14:paraId="301FE472">
                  <w:pPr>
                    <w:pStyle w:val="9"/>
                    <w:widowControl w:val="0"/>
                    <w:ind w:firstLine="0" w:firstLineChars="0"/>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类别5</w:t>
                  </w:r>
                </w:p>
              </w:tc>
            </w:tr>
            <w:tr w14:paraId="34F6E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tcBorders>
                    <w:top w:val="single" w:color="auto" w:sz="4" w:space="0"/>
                    <w:left w:val="nil"/>
                    <w:bottom w:val="single" w:color="auto" w:sz="4" w:space="0"/>
                    <w:right w:val="single" w:color="auto" w:sz="4" w:space="0"/>
                  </w:tcBorders>
                  <w:noWrap w:val="0"/>
                  <w:vAlign w:val="center"/>
                </w:tcPr>
                <w:p w14:paraId="6C5BEFE8">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经口</w:t>
                  </w:r>
                  <w:r>
                    <w:rPr>
                      <w:rFonts w:hint="default" w:ascii="Times New Roman" w:hAnsi="Times New Roman" w:cs="Times New Roman"/>
                      <w:color w:val="000000"/>
                      <w:sz w:val="21"/>
                      <w:szCs w:val="21"/>
                      <w:highlight w:val="none"/>
                      <w:vertAlign w:val="superscript"/>
                    </w:rPr>
                    <w:t>a,b</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64FDB96A">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mg/kg</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3AE392CF">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4D0F4E5F">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50</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0B7B08A3">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300</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5EF1A2E6">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2000</w:t>
                  </w:r>
                </w:p>
              </w:tc>
              <w:tc>
                <w:tcPr>
                  <w:tcW w:w="714" w:type="pct"/>
                  <w:vMerge w:val="restart"/>
                  <w:tcBorders>
                    <w:top w:val="single" w:color="auto" w:sz="4" w:space="0"/>
                    <w:left w:val="single" w:color="auto" w:sz="4" w:space="0"/>
                    <w:bottom w:val="single" w:color="auto" w:sz="4" w:space="0"/>
                    <w:right w:val="nil"/>
                  </w:tcBorders>
                  <w:noWrap w:val="0"/>
                  <w:vAlign w:val="center"/>
                </w:tcPr>
                <w:p w14:paraId="0EFAF58C">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5000</w:t>
                  </w:r>
                </w:p>
              </w:tc>
            </w:tr>
            <w:tr w14:paraId="572CB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tcBorders>
                    <w:top w:val="single" w:color="auto" w:sz="4" w:space="0"/>
                    <w:left w:val="nil"/>
                    <w:bottom w:val="single" w:color="auto" w:sz="4" w:space="0"/>
                    <w:right w:val="single" w:color="auto" w:sz="4" w:space="0"/>
                  </w:tcBorders>
                  <w:noWrap w:val="0"/>
                  <w:vAlign w:val="center"/>
                </w:tcPr>
                <w:p w14:paraId="39E25796">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经皮肤</w:t>
                  </w:r>
                  <w:r>
                    <w:rPr>
                      <w:rFonts w:hint="default" w:ascii="Times New Roman" w:hAnsi="Times New Roman" w:cs="Times New Roman"/>
                      <w:color w:val="000000"/>
                      <w:sz w:val="21"/>
                      <w:szCs w:val="21"/>
                      <w:highlight w:val="none"/>
                      <w:vertAlign w:val="superscript"/>
                    </w:rPr>
                    <w:t>a,b</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48F121F0">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mg/kg</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00EEF603">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50</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32DE785B">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200</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2B0BB1B3">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1000</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3B55B89A">
                  <w:pPr>
                    <w:pStyle w:val="9"/>
                    <w:widowControl w:val="0"/>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2000</w:t>
                  </w:r>
                </w:p>
              </w:tc>
              <w:tc>
                <w:tcPr>
                  <w:tcW w:w="714" w:type="pct"/>
                  <w:vMerge w:val="continue"/>
                  <w:tcBorders>
                    <w:top w:val="single" w:color="auto" w:sz="4" w:space="0"/>
                    <w:left w:val="single" w:color="auto" w:sz="4" w:space="0"/>
                    <w:bottom w:val="single" w:color="auto" w:sz="4" w:space="0"/>
                    <w:right w:val="nil"/>
                  </w:tcBorders>
                  <w:noWrap w:val="0"/>
                  <w:vAlign w:val="center"/>
                </w:tcPr>
                <w:p w14:paraId="7FB8F321">
                  <w:pPr>
                    <w:rPr>
                      <w:rFonts w:hint="default" w:ascii="Times New Roman" w:hAnsi="Times New Roman" w:cs="Times New Roman"/>
                      <w:color w:val="000000"/>
                      <w:sz w:val="21"/>
                      <w:szCs w:val="21"/>
                      <w:highlight w:val="none"/>
                    </w:rPr>
                  </w:pPr>
                </w:p>
              </w:tc>
            </w:tr>
            <w:tr w14:paraId="0798E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tcBorders>
                    <w:top w:val="single" w:color="auto" w:sz="4" w:space="0"/>
                    <w:left w:val="nil"/>
                    <w:bottom w:val="single" w:color="auto" w:sz="12" w:space="0"/>
                    <w:right w:val="nil"/>
                  </w:tcBorders>
                  <w:noWrap w:val="0"/>
                  <w:vAlign w:val="center"/>
                </w:tcPr>
                <w:p w14:paraId="5D733F35">
                  <w:pPr>
                    <w:pStyle w:val="9"/>
                    <w:widowControl w:val="0"/>
                    <w:ind w:firstLine="0" w:firstLineChars="0"/>
                    <w:jc w:val="both"/>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a对物质进行分类的急性毒性估计值（ATE），可根据已知的LD50/LC50值推算；</w:t>
                  </w:r>
                </w:p>
                <w:p w14:paraId="392D4AAF">
                  <w:pPr>
                    <w:pStyle w:val="9"/>
                    <w:widowControl w:val="0"/>
                    <w:ind w:firstLine="0" w:firstLineChars="0"/>
                    <w:jc w:val="both"/>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b混合物中某物质，其急性毒性估计值（ATE），可根据下列数值推算：可得到LD50/LC50；否则从表2有关毒性范围试验结果中得出换算值或从表2有关毒性分类类别适当换算值</w:t>
                  </w:r>
                </w:p>
              </w:tc>
            </w:tr>
          </w:tbl>
          <w:p w14:paraId="2DFCD2B4">
            <w:pPr>
              <w:pStyle w:val="85"/>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b w:val="0"/>
                <w:bCs w:val="0"/>
                <w:color w:val="000000"/>
                <w:highlight w:val="none"/>
                <w:lang w:eastAsia="zh-CN"/>
              </w:rPr>
            </w:pPr>
            <w:r>
              <w:rPr>
                <w:rFonts w:hint="default" w:ascii="Times New Roman" w:hAnsi="Times New Roman" w:eastAsia="宋体" w:cs="Times New Roman"/>
                <w:b w:val="0"/>
                <w:bCs w:val="0"/>
                <w:color w:val="000000"/>
                <w:sz w:val="24"/>
                <w:szCs w:val="24"/>
                <w:highlight w:val="none"/>
                <w:lang w:bidi="ar"/>
              </w:rPr>
              <w:t>根据上文原料理化性质分析，</w:t>
            </w:r>
            <w:r>
              <w:rPr>
                <w:rFonts w:hint="default" w:ascii="Times New Roman" w:hAnsi="Times New Roman" w:eastAsia="宋体" w:cs="Times New Roman"/>
                <w:b w:val="0"/>
                <w:bCs w:val="0"/>
                <w:color w:val="000000"/>
                <w:sz w:val="24"/>
                <w:szCs w:val="24"/>
                <w:highlight w:val="none"/>
              </w:rPr>
              <w:t>项目</w:t>
            </w:r>
            <w:r>
              <w:rPr>
                <w:rFonts w:hint="eastAsia" w:eastAsia="宋体" w:cs="Times New Roman"/>
                <w:b w:val="0"/>
                <w:bCs w:val="0"/>
                <w:color w:val="000000"/>
                <w:sz w:val="24"/>
                <w:szCs w:val="24"/>
                <w:highlight w:val="none"/>
                <w:lang w:eastAsia="zh-CN"/>
              </w:rPr>
              <w:t>胶浆、固浆</w:t>
            </w:r>
            <w:r>
              <w:rPr>
                <w:rFonts w:hint="eastAsia" w:eastAsia="宋体" w:cs="Times New Roman"/>
                <w:color w:val="000000"/>
                <w:sz w:val="24"/>
                <w:szCs w:val="24"/>
                <w:highlight w:val="none"/>
                <w:lang w:val="en-US" w:eastAsia="zh-CN"/>
              </w:rPr>
              <w:t>、色种、感光胶</w:t>
            </w:r>
            <w:r>
              <w:rPr>
                <w:rFonts w:hint="default" w:ascii="Times New Roman" w:hAnsi="Times New Roman" w:eastAsia="宋体" w:cs="Times New Roman"/>
                <w:b w:val="0"/>
                <w:bCs w:val="0"/>
                <w:color w:val="000000"/>
                <w:sz w:val="24"/>
                <w:szCs w:val="24"/>
                <w:highlight w:val="none"/>
              </w:rPr>
              <w:t>属于混合物质，均不属于急性毒性物质，按照物质健康危害急性毒性分析，项目属于类别3。项目</w:t>
            </w:r>
            <w:r>
              <w:rPr>
                <w:rFonts w:hint="eastAsia" w:ascii="Times New Roman" w:hAnsi="Times New Roman" w:eastAsia="宋体" w:cs="Times New Roman"/>
                <w:b w:val="0"/>
                <w:bCs w:val="0"/>
                <w:color w:val="000000"/>
                <w:sz w:val="24"/>
                <w:szCs w:val="24"/>
                <w:highlight w:val="none"/>
                <w:lang w:eastAsia="zh-CN"/>
              </w:rPr>
              <w:t>原料</w:t>
            </w:r>
            <w:r>
              <w:rPr>
                <w:rFonts w:hint="default" w:ascii="Times New Roman" w:hAnsi="Times New Roman" w:eastAsia="宋体" w:cs="Times New Roman"/>
                <w:b w:val="0"/>
                <w:bCs w:val="0"/>
                <w:color w:val="000000"/>
                <w:sz w:val="24"/>
                <w:szCs w:val="24"/>
                <w:highlight w:val="none"/>
              </w:rPr>
              <w:t>按每</w:t>
            </w:r>
            <w:r>
              <w:rPr>
                <w:rFonts w:hint="eastAsia" w:ascii="Times New Roman" w:hAnsi="Times New Roman" w:eastAsia="宋体" w:cs="Times New Roman"/>
                <w:b w:val="0"/>
                <w:bCs w:val="0"/>
                <w:color w:val="000000"/>
                <w:sz w:val="24"/>
                <w:szCs w:val="24"/>
                <w:highlight w:val="none"/>
                <w:lang w:eastAsia="zh-CN"/>
              </w:rPr>
              <w:t>月</w:t>
            </w:r>
            <w:r>
              <w:rPr>
                <w:rFonts w:hint="default" w:ascii="Times New Roman" w:hAnsi="Times New Roman" w:eastAsia="宋体" w:cs="Times New Roman"/>
                <w:b w:val="0"/>
                <w:bCs w:val="0"/>
                <w:color w:val="000000"/>
                <w:sz w:val="24"/>
                <w:szCs w:val="24"/>
                <w:highlight w:val="none"/>
              </w:rPr>
              <w:t>进货一次计，则</w:t>
            </w:r>
            <w:r>
              <w:rPr>
                <w:rFonts w:hint="eastAsia" w:eastAsia="宋体" w:cs="Times New Roman"/>
                <w:b w:val="0"/>
                <w:bCs w:val="0"/>
                <w:color w:val="000000"/>
                <w:sz w:val="24"/>
                <w:szCs w:val="24"/>
                <w:highlight w:val="none"/>
                <w:lang w:eastAsia="zh-CN"/>
              </w:rPr>
              <w:t>胶浆厂界内最大存在总量为</w:t>
            </w:r>
            <w:r>
              <w:rPr>
                <w:rFonts w:hint="eastAsia" w:eastAsia="宋体" w:cs="Times New Roman"/>
                <w:b w:val="0"/>
                <w:bCs w:val="0"/>
                <w:color w:val="000000"/>
                <w:sz w:val="24"/>
                <w:szCs w:val="24"/>
                <w:highlight w:val="none"/>
                <w:lang w:val="en-US" w:eastAsia="zh-CN"/>
              </w:rPr>
              <w:t>1.3t、固浆</w:t>
            </w:r>
            <w:r>
              <w:rPr>
                <w:rFonts w:hint="default" w:ascii="Times New Roman" w:hAnsi="Times New Roman" w:eastAsia="宋体" w:cs="Times New Roman"/>
                <w:b w:val="0"/>
                <w:bCs w:val="0"/>
                <w:color w:val="000000"/>
                <w:sz w:val="24"/>
                <w:szCs w:val="24"/>
                <w:highlight w:val="none"/>
              </w:rPr>
              <w:t>厂界内最大存在总量为</w:t>
            </w:r>
            <w:r>
              <w:rPr>
                <w:rFonts w:hint="eastAsia" w:eastAsia="宋体" w:cs="Times New Roman"/>
                <w:b w:val="0"/>
                <w:bCs w:val="0"/>
                <w:color w:val="000000"/>
                <w:sz w:val="24"/>
                <w:szCs w:val="24"/>
                <w:highlight w:val="none"/>
                <w:lang w:val="en-US" w:eastAsia="zh-CN"/>
              </w:rPr>
              <w:t>1.3</w:t>
            </w:r>
            <w:r>
              <w:rPr>
                <w:rFonts w:hint="default" w:ascii="Times New Roman" w:hAnsi="Times New Roman" w:eastAsia="宋体" w:cs="Times New Roman"/>
                <w:b w:val="0"/>
                <w:bCs w:val="0"/>
                <w:color w:val="000000"/>
                <w:sz w:val="24"/>
                <w:szCs w:val="24"/>
                <w:highlight w:val="none"/>
              </w:rPr>
              <w:t>t</w:t>
            </w:r>
            <w:r>
              <w:rPr>
                <w:rFonts w:hint="eastAsia" w:ascii="Times New Roman" w:hAnsi="Times New Roman" w:eastAsia="宋体" w:cs="Times New Roman"/>
                <w:b w:val="0"/>
                <w:bCs w:val="0"/>
                <w:color w:val="000000"/>
                <w:sz w:val="24"/>
                <w:szCs w:val="24"/>
                <w:highlight w:val="none"/>
                <w:lang w:eastAsia="zh-CN"/>
              </w:rPr>
              <w:t>，</w:t>
            </w:r>
            <w:r>
              <w:rPr>
                <w:rFonts w:hint="eastAsia" w:eastAsia="宋体" w:cs="Times New Roman"/>
                <w:b w:val="0"/>
                <w:bCs w:val="0"/>
                <w:color w:val="000000"/>
                <w:sz w:val="24"/>
                <w:szCs w:val="24"/>
                <w:highlight w:val="none"/>
                <w:lang w:val="en-US" w:eastAsia="zh-CN"/>
              </w:rPr>
              <w:t>色种</w:t>
            </w:r>
            <w:r>
              <w:rPr>
                <w:rFonts w:hint="default" w:ascii="Times New Roman" w:hAnsi="Times New Roman" w:eastAsia="宋体" w:cs="Times New Roman"/>
                <w:b w:val="0"/>
                <w:bCs w:val="0"/>
                <w:color w:val="000000"/>
                <w:sz w:val="24"/>
                <w:szCs w:val="24"/>
                <w:highlight w:val="none"/>
              </w:rPr>
              <w:t>厂界内最大存在总量为</w:t>
            </w:r>
            <w:r>
              <w:rPr>
                <w:rFonts w:hint="eastAsia" w:eastAsia="宋体" w:cs="Times New Roman"/>
                <w:b w:val="0"/>
                <w:bCs w:val="0"/>
                <w:color w:val="000000"/>
                <w:sz w:val="24"/>
                <w:szCs w:val="24"/>
                <w:highlight w:val="none"/>
                <w:lang w:val="en-US" w:eastAsia="zh-CN"/>
              </w:rPr>
              <w:t>1</w:t>
            </w:r>
            <w:r>
              <w:rPr>
                <w:rFonts w:hint="default" w:ascii="Times New Roman" w:hAnsi="Times New Roman" w:eastAsia="宋体" w:cs="Times New Roman"/>
                <w:b w:val="0"/>
                <w:bCs w:val="0"/>
                <w:color w:val="000000"/>
                <w:sz w:val="24"/>
                <w:szCs w:val="24"/>
                <w:highlight w:val="none"/>
              </w:rPr>
              <w:t>t</w:t>
            </w:r>
            <w:r>
              <w:rPr>
                <w:rFonts w:hint="eastAsia" w:eastAsia="宋体" w:cs="Times New Roman"/>
                <w:b w:val="0"/>
                <w:bCs w:val="0"/>
                <w:color w:val="000000"/>
                <w:sz w:val="24"/>
                <w:szCs w:val="24"/>
                <w:highlight w:val="none"/>
                <w:lang w:eastAsia="zh-CN"/>
              </w:rPr>
              <w:t>，</w:t>
            </w:r>
            <w:r>
              <w:rPr>
                <w:rFonts w:hint="eastAsia" w:eastAsia="宋体" w:cs="Times New Roman"/>
                <w:b w:val="0"/>
                <w:bCs w:val="0"/>
                <w:color w:val="000000"/>
                <w:sz w:val="24"/>
                <w:szCs w:val="24"/>
                <w:highlight w:val="none"/>
                <w:lang w:val="en-US" w:eastAsia="zh-CN"/>
              </w:rPr>
              <w:t>固色剂</w:t>
            </w:r>
            <w:r>
              <w:rPr>
                <w:rFonts w:hint="default" w:ascii="Times New Roman" w:hAnsi="Times New Roman" w:eastAsia="宋体" w:cs="Times New Roman"/>
                <w:b w:val="0"/>
                <w:bCs w:val="0"/>
                <w:color w:val="000000"/>
                <w:sz w:val="24"/>
                <w:szCs w:val="24"/>
                <w:highlight w:val="none"/>
              </w:rPr>
              <w:t>厂界内最大存在总量为</w:t>
            </w:r>
            <w:r>
              <w:rPr>
                <w:rFonts w:hint="eastAsia" w:eastAsia="宋体" w:cs="Times New Roman"/>
                <w:b w:val="0"/>
                <w:bCs w:val="0"/>
                <w:color w:val="000000"/>
                <w:sz w:val="24"/>
                <w:szCs w:val="24"/>
                <w:highlight w:val="none"/>
                <w:lang w:val="en-US" w:eastAsia="zh-CN"/>
              </w:rPr>
              <w:t>1</w:t>
            </w:r>
            <w:r>
              <w:rPr>
                <w:rFonts w:hint="default" w:ascii="Times New Roman" w:hAnsi="Times New Roman" w:eastAsia="宋体" w:cs="Times New Roman"/>
                <w:b w:val="0"/>
                <w:bCs w:val="0"/>
                <w:color w:val="000000"/>
                <w:sz w:val="24"/>
                <w:szCs w:val="24"/>
                <w:highlight w:val="none"/>
              </w:rPr>
              <w:t>t</w:t>
            </w:r>
            <w:r>
              <w:rPr>
                <w:rFonts w:hint="eastAsia" w:eastAsia="宋体" w:cs="Times New Roman"/>
                <w:b w:val="0"/>
                <w:bCs w:val="0"/>
                <w:color w:val="000000"/>
                <w:sz w:val="24"/>
                <w:szCs w:val="24"/>
                <w:highlight w:val="none"/>
                <w:lang w:eastAsia="zh-CN"/>
              </w:rPr>
              <w:t>，</w:t>
            </w:r>
            <w:r>
              <w:rPr>
                <w:rFonts w:hint="eastAsia" w:eastAsia="宋体" w:cs="Times New Roman"/>
                <w:b w:val="0"/>
                <w:bCs w:val="0"/>
                <w:color w:val="000000"/>
                <w:sz w:val="24"/>
                <w:szCs w:val="24"/>
                <w:highlight w:val="none"/>
                <w:lang w:val="en-US" w:eastAsia="zh-CN"/>
              </w:rPr>
              <w:t>感光胶</w:t>
            </w:r>
            <w:r>
              <w:rPr>
                <w:rFonts w:hint="default" w:ascii="Times New Roman" w:hAnsi="Times New Roman" w:eastAsia="宋体" w:cs="Times New Roman"/>
                <w:b w:val="0"/>
                <w:bCs w:val="0"/>
                <w:color w:val="000000"/>
                <w:sz w:val="24"/>
                <w:szCs w:val="24"/>
                <w:highlight w:val="none"/>
              </w:rPr>
              <w:t>厂界内最大存在总量为</w:t>
            </w:r>
            <w:r>
              <w:rPr>
                <w:rFonts w:hint="eastAsia" w:ascii="Times New Roman" w:hAnsi="Times New Roman" w:eastAsia="宋体" w:cs="Times New Roman"/>
                <w:b w:val="0"/>
                <w:bCs w:val="0"/>
                <w:color w:val="000000"/>
                <w:sz w:val="24"/>
                <w:szCs w:val="24"/>
                <w:highlight w:val="none"/>
                <w:lang w:val="en-US" w:eastAsia="zh-CN"/>
              </w:rPr>
              <w:t>0.</w:t>
            </w:r>
            <w:r>
              <w:rPr>
                <w:rFonts w:hint="eastAsia" w:eastAsia="宋体" w:cs="Times New Roman"/>
                <w:b w:val="0"/>
                <w:bCs w:val="0"/>
                <w:color w:val="000000"/>
                <w:sz w:val="24"/>
                <w:szCs w:val="24"/>
                <w:highlight w:val="none"/>
                <w:lang w:val="en-US" w:eastAsia="zh-CN"/>
              </w:rPr>
              <w:t>1</w:t>
            </w:r>
            <w:r>
              <w:rPr>
                <w:rFonts w:hint="default" w:ascii="Times New Roman" w:hAnsi="Times New Roman" w:eastAsia="宋体" w:cs="Times New Roman"/>
                <w:b w:val="0"/>
                <w:bCs w:val="0"/>
                <w:color w:val="000000"/>
                <w:sz w:val="24"/>
                <w:szCs w:val="24"/>
                <w:highlight w:val="none"/>
              </w:rPr>
              <w:t>t</w:t>
            </w:r>
            <w:r>
              <w:rPr>
                <w:rFonts w:hint="eastAsia" w:eastAsia="宋体" w:cs="Times New Roman"/>
                <w:b w:val="0"/>
                <w:bCs w:val="0"/>
                <w:color w:val="000000"/>
                <w:sz w:val="24"/>
                <w:szCs w:val="24"/>
                <w:highlight w:val="none"/>
                <w:lang w:eastAsia="zh-CN"/>
              </w:rPr>
              <w:t>，</w:t>
            </w:r>
            <w:r>
              <w:rPr>
                <w:rFonts w:hint="eastAsia" w:eastAsia="宋体" w:cs="Times New Roman"/>
                <w:b w:val="0"/>
                <w:bCs w:val="0"/>
                <w:color w:val="000000"/>
                <w:sz w:val="24"/>
                <w:szCs w:val="24"/>
                <w:highlight w:val="none"/>
                <w:lang w:val="en-US" w:eastAsia="zh-CN"/>
              </w:rPr>
              <w:t>废菲林片</w:t>
            </w:r>
            <w:r>
              <w:rPr>
                <w:rFonts w:hint="default" w:ascii="Times New Roman" w:hAnsi="Times New Roman" w:eastAsia="宋体" w:cs="Times New Roman"/>
                <w:b w:val="0"/>
                <w:bCs w:val="0"/>
                <w:color w:val="000000"/>
                <w:sz w:val="24"/>
                <w:szCs w:val="24"/>
                <w:highlight w:val="none"/>
              </w:rPr>
              <w:t>厂界内最大存在总量为</w:t>
            </w:r>
            <w:r>
              <w:rPr>
                <w:rFonts w:hint="eastAsia" w:ascii="Times New Roman" w:hAnsi="Times New Roman" w:eastAsia="宋体" w:cs="Times New Roman"/>
                <w:b w:val="0"/>
                <w:bCs w:val="0"/>
                <w:color w:val="000000"/>
                <w:sz w:val="24"/>
                <w:szCs w:val="24"/>
                <w:highlight w:val="none"/>
                <w:lang w:val="en-US" w:eastAsia="zh-CN"/>
              </w:rPr>
              <w:t>0.</w:t>
            </w:r>
            <w:r>
              <w:rPr>
                <w:rFonts w:hint="eastAsia" w:eastAsia="宋体" w:cs="Times New Roman"/>
                <w:b w:val="0"/>
                <w:bCs w:val="0"/>
                <w:color w:val="000000"/>
                <w:sz w:val="24"/>
                <w:szCs w:val="24"/>
                <w:highlight w:val="none"/>
                <w:lang w:val="en-US" w:eastAsia="zh-CN"/>
              </w:rPr>
              <w:t>223</w:t>
            </w:r>
            <w:r>
              <w:rPr>
                <w:rFonts w:hint="default" w:ascii="Times New Roman" w:hAnsi="Times New Roman" w:eastAsia="宋体" w:cs="Times New Roman"/>
                <w:b w:val="0"/>
                <w:bCs w:val="0"/>
                <w:color w:val="000000"/>
                <w:sz w:val="24"/>
                <w:szCs w:val="24"/>
                <w:highlight w:val="none"/>
              </w:rPr>
              <w:t>t</w:t>
            </w:r>
            <w:r>
              <w:rPr>
                <w:rFonts w:hint="eastAsia" w:eastAsia="宋体" w:cs="Times New Roman"/>
                <w:b w:val="0"/>
                <w:bCs w:val="0"/>
                <w:color w:val="000000"/>
                <w:sz w:val="24"/>
                <w:szCs w:val="24"/>
                <w:highlight w:val="none"/>
                <w:lang w:eastAsia="zh-CN"/>
              </w:rPr>
              <w:t>，</w:t>
            </w:r>
            <w:r>
              <w:rPr>
                <w:rFonts w:hint="eastAsia" w:eastAsia="宋体" w:cs="Times New Roman"/>
                <w:b w:val="0"/>
                <w:bCs w:val="0"/>
                <w:color w:val="000000"/>
                <w:sz w:val="24"/>
                <w:szCs w:val="24"/>
                <w:highlight w:val="none"/>
                <w:lang w:val="en-US" w:eastAsia="zh-CN"/>
              </w:rPr>
              <w:t>废丝印版框</w:t>
            </w:r>
            <w:r>
              <w:rPr>
                <w:rFonts w:hint="default" w:ascii="Times New Roman" w:hAnsi="Times New Roman" w:eastAsia="宋体" w:cs="Times New Roman"/>
                <w:b w:val="0"/>
                <w:bCs w:val="0"/>
                <w:color w:val="000000"/>
                <w:sz w:val="24"/>
                <w:szCs w:val="24"/>
                <w:highlight w:val="none"/>
              </w:rPr>
              <w:t>厂界内最大存在总量为</w:t>
            </w:r>
            <w:r>
              <w:rPr>
                <w:rFonts w:hint="eastAsia" w:ascii="Times New Roman" w:hAnsi="Times New Roman" w:eastAsia="宋体" w:cs="Times New Roman"/>
                <w:b w:val="0"/>
                <w:bCs w:val="0"/>
                <w:color w:val="000000"/>
                <w:sz w:val="24"/>
                <w:szCs w:val="24"/>
                <w:highlight w:val="none"/>
                <w:lang w:val="en-US" w:eastAsia="zh-CN"/>
              </w:rPr>
              <w:t>0.</w:t>
            </w:r>
            <w:r>
              <w:rPr>
                <w:rFonts w:hint="eastAsia" w:eastAsia="宋体" w:cs="Times New Roman"/>
                <w:b w:val="0"/>
                <w:bCs w:val="0"/>
                <w:color w:val="000000"/>
                <w:sz w:val="24"/>
                <w:szCs w:val="24"/>
                <w:highlight w:val="none"/>
                <w:lang w:val="en-US" w:eastAsia="zh-CN"/>
              </w:rPr>
              <w:t>2</w:t>
            </w:r>
            <w:r>
              <w:rPr>
                <w:rFonts w:hint="default" w:ascii="Times New Roman" w:hAnsi="Times New Roman" w:eastAsia="宋体" w:cs="Times New Roman"/>
                <w:b w:val="0"/>
                <w:bCs w:val="0"/>
                <w:color w:val="000000"/>
                <w:sz w:val="24"/>
                <w:szCs w:val="24"/>
                <w:highlight w:val="none"/>
              </w:rPr>
              <w:t>t</w:t>
            </w:r>
            <w:r>
              <w:rPr>
                <w:rFonts w:hint="eastAsia" w:eastAsia="宋体" w:cs="Times New Roman"/>
                <w:b w:val="0"/>
                <w:bCs w:val="0"/>
                <w:color w:val="000000"/>
                <w:sz w:val="24"/>
                <w:szCs w:val="24"/>
                <w:highlight w:val="none"/>
                <w:lang w:eastAsia="zh-CN"/>
              </w:rPr>
              <w:t>，</w:t>
            </w:r>
            <w:r>
              <w:rPr>
                <w:rFonts w:hint="eastAsia" w:eastAsia="宋体" w:cs="Times New Roman"/>
                <w:b w:val="0"/>
                <w:bCs w:val="0"/>
                <w:color w:val="000000"/>
                <w:sz w:val="24"/>
                <w:szCs w:val="24"/>
                <w:highlight w:val="none"/>
                <w:lang w:val="en-US" w:eastAsia="zh-CN"/>
              </w:rPr>
              <w:t>沉淀污泥</w:t>
            </w:r>
            <w:r>
              <w:rPr>
                <w:rFonts w:hint="default" w:ascii="Times New Roman" w:hAnsi="Times New Roman" w:eastAsia="宋体" w:cs="Times New Roman"/>
                <w:b w:val="0"/>
                <w:bCs w:val="0"/>
                <w:color w:val="000000"/>
                <w:sz w:val="24"/>
                <w:szCs w:val="24"/>
                <w:highlight w:val="none"/>
              </w:rPr>
              <w:t>厂界内最大存在总量为</w:t>
            </w:r>
            <w:r>
              <w:rPr>
                <w:rFonts w:hint="eastAsia" w:ascii="Times New Roman" w:hAnsi="Times New Roman" w:eastAsia="宋体" w:cs="Times New Roman"/>
                <w:b w:val="0"/>
                <w:bCs w:val="0"/>
                <w:color w:val="000000"/>
                <w:sz w:val="24"/>
                <w:szCs w:val="24"/>
                <w:highlight w:val="none"/>
                <w:lang w:val="en-US" w:eastAsia="zh-CN"/>
              </w:rPr>
              <w:t>0.</w:t>
            </w:r>
            <w:r>
              <w:rPr>
                <w:rFonts w:hint="eastAsia" w:eastAsia="宋体" w:cs="Times New Roman"/>
                <w:b w:val="0"/>
                <w:bCs w:val="0"/>
                <w:color w:val="000000"/>
                <w:sz w:val="24"/>
                <w:szCs w:val="24"/>
                <w:highlight w:val="none"/>
                <w:lang w:val="en-US" w:eastAsia="zh-CN"/>
              </w:rPr>
              <w:t>223</w:t>
            </w:r>
            <w:r>
              <w:rPr>
                <w:rFonts w:hint="default" w:ascii="Times New Roman" w:hAnsi="Times New Roman" w:eastAsia="宋体" w:cs="Times New Roman"/>
                <w:b w:val="0"/>
                <w:bCs w:val="0"/>
                <w:color w:val="000000"/>
                <w:sz w:val="24"/>
                <w:szCs w:val="24"/>
                <w:highlight w:val="none"/>
              </w:rPr>
              <w:t>t</w:t>
            </w:r>
            <w:r>
              <w:rPr>
                <w:rFonts w:hint="eastAsia" w:eastAsia="宋体" w:cs="Times New Roman"/>
                <w:b w:val="0"/>
                <w:bCs w:val="0"/>
                <w:color w:val="000000"/>
                <w:sz w:val="24"/>
                <w:szCs w:val="24"/>
                <w:highlight w:val="none"/>
                <w:lang w:eastAsia="zh-CN"/>
              </w:rPr>
              <w:t>，</w:t>
            </w:r>
            <w:r>
              <w:rPr>
                <w:rFonts w:hint="eastAsia" w:eastAsia="宋体" w:cs="Times New Roman"/>
                <w:b w:val="0"/>
                <w:bCs w:val="0"/>
                <w:color w:val="000000"/>
                <w:sz w:val="24"/>
                <w:szCs w:val="24"/>
                <w:highlight w:val="none"/>
                <w:lang w:val="en-US" w:eastAsia="zh-CN"/>
              </w:rPr>
              <w:t>废活性炭厂界内最大存在总量为0.913t</w:t>
            </w:r>
            <w:r>
              <w:rPr>
                <w:rFonts w:hint="default" w:ascii="Times New Roman" w:hAnsi="Times New Roman" w:eastAsia="宋体" w:cs="Times New Roman"/>
                <w:color w:val="000000"/>
                <w:sz w:val="24"/>
                <w:szCs w:val="24"/>
                <w:highlight w:val="none"/>
                <w:lang w:val="en-US" w:eastAsia="zh-CN"/>
              </w:rPr>
              <w:t>。</w:t>
            </w:r>
          </w:p>
          <w:p w14:paraId="7D0FB1BF">
            <w:pPr>
              <w:widowControl w:val="0"/>
              <w:autoSpaceDE/>
              <w:spacing w:line="240" w:lineRule="auto"/>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表</w:t>
            </w:r>
            <w:r>
              <w:rPr>
                <w:rFonts w:hint="default" w:ascii="Times New Roman" w:hAnsi="Times New Roman" w:eastAsia="宋体" w:cs="Times New Roman"/>
                <w:b/>
                <w:bCs/>
                <w:sz w:val="24"/>
                <w:szCs w:val="24"/>
                <w:highlight w:val="none"/>
                <w:lang w:val="en-US" w:eastAsia="zh-CN"/>
              </w:rPr>
              <w:t>4</w:t>
            </w:r>
            <w:r>
              <w:rPr>
                <w:rFonts w:hint="default" w:ascii="Times New Roman" w:hAnsi="Times New Roman" w:eastAsia="宋体" w:cs="Times New Roman"/>
                <w:b/>
                <w:bCs/>
                <w:sz w:val="24"/>
                <w:szCs w:val="24"/>
                <w:highlight w:val="none"/>
              </w:rPr>
              <w:t>-</w:t>
            </w:r>
            <w:r>
              <w:rPr>
                <w:rFonts w:hint="eastAsia" w:ascii="Times New Roman" w:hAnsi="Times New Roman" w:eastAsia="宋体" w:cs="Times New Roman"/>
                <w:b/>
                <w:bCs/>
                <w:sz w:val="24"/>
                <w:szCs w:val="24"/>
                <w:highlight w:val="none"/>
                <w:lang w:val="en-US" w:eastAsia="zh-CN"/>
              </w:rPr>
              <w:t>2</w:t>
            </w:r>
            <w:r>
              <w:rPr>
                <w:rFonts w:hint="eastAsia" w:cs="Times New Roman"/>
                <w:b/>
                <w:bCs/>
                <w:sz w:val="24"/>
                <w:szCs w:val="24"/>
                <w:highlight w:val="none"/>
                <w:lang w:val="en-US" w:eastAsia="zh-CN"/>
              </w:rPr>
              <w:t>5</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color w:val="000000"/>
                <w:kern w:val="0"/>
                <w:sz w:val="24"/>
                <w:szCs w:val="24"/>
                <w:highlight w:val="none"/>
                <w:lang w:val="en-US" w:eastAsia="zh-CN" w:bidi="ar"/>
              </w:rPr>
              <w:t>项目风险物质</w:t>
            </w:r>
            <w:r>
              <w:rPr>
                <w:rFonts w:hint="eastAsia" w:ascii="Times New Roman" w:hAnsi="Times New Roman" w:eastAsia="宋体" w:cs="Times New Roman"/>
                <w:b/>
                <w:bCs/>
                <w:color w:val="000000"/>
                <w:kern w:val="0"/>
                <w:sz w:val="24"/>
                <w:szCs w:val="24"/>
                <w:highlight w:val="none"/>
                <w:lang w:val="en-US" w:eastAsia="zh-CN" w:bidi="ar"/>
              </w:rPr>
              <w:t>Q</w:t>
            </w:r>
            <w:r>
              <w:rPr>
                <w:rFonts w:hint="default" w:ascii="Times New Roman" w:hAnsi="Times New Roman" w:eastAsia="宋体" w:cs="Times New Roman"/>
                <w:b/>
                <w:bCs/>
                <w:color w:val="000000"/>
                <w:kern w:val="0"/>
                <w:sz w:val="24"/>
                <w:szCs w:val="24"/>
                <w:highlight w:val="none"/>
                <w:lang w:val="en-US" w:eastAsia="zh-CN" w:bidi="ar"/>
              </w:rPr>
              <w:t>值计算一览表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22"/>
              <w:gridCol w:w="1163"/>
              <w:gridCol w:w="1604"/>
              <w:gridCol w:w="2787"/>
              <w:gridCol w:w="1446"/>
            </w:tblGrid>
            <w:tr w14:paraId="42310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pct"/>
                  <w:tcBorders>
                    <w:top w:val="single" w:color="auto" w:sz="12" w:space="0"/>
                    <w:left w:val="nil"/>
                    <w:bottom w:val="single" w:color="auto" w:sz="4" w:space="0"/>
                    <w:right w:val="single" w:color="auto" w:sz="4" w:space="0"/>
                  </w:tcBorders>
                  <w:noWrap w:val="0"/>
                  <w:vAlign w:val="center"/>
                </w:tcPr>
                <w:p w14:paraId="74072D81">
                  <w:pPr>
                    <w:pStyle w:val="9"/>
                    <w:widowControl w:val="0"/>
                    <w:ind w:firstLine="0" w:firstLine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序号</w:t>
                  </w:r>
                </w:p>
              </w:tc>
              <w:tc>
                <w:tcPr>
                  <w:tcW w:w="743" w:type="pct"/>
                  <w:tcBorders>
                    <w:top w:val="single" w:color="auto" w:sz="12" w:space="0"/>
                    <w:left w:val="single" w:color="auto" w:sz="4" w:space="0"/>
                    <w:bottom w:val="single" w:color="auto" w:sz="4" w:space="0"/>
                    <w:right w:val="single" w:color="auto" w:sz="4" w:space="0"/>
                  </w:tcBorders>
                  <w:noWrap w:val="0"/>
                  <w:vAlign w:val="center"/>
                </w:tcPr>
                <w:p w14:paraId="7B5BF67C">
                  <w:pPr>
                    <w:pStyle w:val="9"/>
                    <w:widowControl w:val="0"/>
                    <w:ind w:firstLine="0" w:firstLine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物质名称</w:t>
                  </w:r>
                </w:p>
              </w:tc>
              <w:tc>
                <w:tcPr>
                  <w:tcW w:w="1025" w:type="pct"/>
                  <w:tcBorders>
                    <w:top w:val="single" w:color="auto" w:sz="12" w:space="0"/>
                    <w:left w:val="single" w:color="auto" w:sz="4" w:space="0"/>
                    <w:bottom w:val="single" w:color="auto" w:sz="4" w:space="0"/>
                    <w:right w:val="single" w:color="auto" w:sz="4" w:space="0"/>
                  </w:tcBorders>
                  <w:noWrap w:val="0"/>
                  <w:vAlign w:val="center"/>
                </w:tcPr>
                <w:p w14:paraId="01771FA8">
                  <w:pPr>
                    <w:pStyle w:val="9"/>
                    <w:widowControl w:val="0"/>
                    <w:ind w:firstLine="0" w:firstLine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最大</w:t>
                  </w:r>
                  <w:r>
                    <w:rPr>
                      <w:rFonts w:hint="eastAsia" w:ascii="Times New Roman" w:hAnsi="Times New Roman" w:eastAsia="宋体" w:cs="Times New Roman"/>
                      <w:b w:val="0"/>
                      <w:bCs w:val="0"/>
                      <w:sz w:val="21"/>
                      <w:szCs w:val="21"/>
                      <w:highlight w:val="none"/>
                      <w:lang w:eastAsia="zh-CN"/>
                    </w:rPr>
                    <w:t>存在总</w:t>
                  </w:r>
                  <w:r>
                    <w:rPr>
                      <w:rFonts w:hint="default" w:ascii="Times New Roman" w:hAnsi="Times New Roman" w:eastAsia="宋体" w:cs="Times New Roman"/>
                      <w:b w:val="0"/>
                      <w:bCs w:val="0"/>
                      <w:sz w:val="21"/>
                      <w:szCs w:val="21"/>
                      <w:highlight w:val="none"/>
                    </w:rPr>
                    <w:t>量t</w:t>
                  </w:r>
                </w:p>
              </w:tc>
              <w:tc>
                <w:tcPr>
                  <w:tcW w:w="1781" w:type="pct"/>
                  <w:tcBorders>
                    <w:top w:val="single" w:color="auto" w:sz="12" w:space="0"/>
                    <w:left w:val="single" w:color="auto" w:sz="4" w:space="0"/>
                    <w:bottom w:val="single" w:color="auto" w:sz="4" w:space="0"/>
                    <w:right w:val="single" w:color="auto" w:sz="4" w:space="0"/>
                  </w:tcBorders>
                  <w:noWrap w:val="0"/>
                  <w:vAlign w:val="center"/>
                </w:tcPr>
                <w:p w14:paraId="5AE2DE76">
                  <w:pPr>
                    <w:pStyle w:val="9"/>
                    <w:widowControl w:val="0"/>
                    <w:ind w:firstLine="0" w:firstLine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HJ 941-2018规定的临界量t</w:t>
                  </w:r>
                </w:p>
              </w:tc>
              <w:tc>
                <w:tcPr>
                  <w:tcW w:w="924" w:type="pct"/>
                  <w:tcBorders>
                    <w:top w:val="single" w:color="auto" w:sz="12" w:space="0"/>
                    <w:left w:val="single" w:color="auto" w:sz="4" w:space="0"/>
                    <w:bottom w:val="single" w:color="auto" w:sz="4" w:space="0"/>
                    <w:right w:val="nil"/>
                  </w:tcBorders>
                  <w:noWrap w:val="0"/>
                  <w:vAlign w:val="center"/>
                </w:tcPr>
                <w:p w14:paraId="11FFF05A">
                  <w:pPr>
                    <w:pStyle w:val="9"/>
                    <w:widowControl w:val="0"/>
                    <w:ind w:firstLine="0" w:firstLine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q/Q</w:t>
                  </w:r>
                </w:p>
              </w:tc>
            </w:tr>
            <w:tr w14:paraId="0E641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pct"/>
                  <w:tcBorders>
                    <w:top w:val="single" w:color="auto" w:sz="4" w:space="0"/>
                    <w:left w:val="nil"/>
                    <w:bottom w:val="single" w:color="auto" w:sz="4" w:space="0"/>
                    <w:right w:val="single" w:color="auto" w:sz="4" w:space="0"/>
                  </w:tcBorders>
                  <w:noWrap w:val="0"/>
                  <w:vAlign w:val="center"/>
                </w:tcPr>
                <w:p w14:paraId="1132EC6E">
                  <w:pPr>
                    <w:pStyle w:val="9"/>
                    <w:widowControl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1BC1F1F6">
                  <w:pPr>
                    <w:pStyle w:val="9"/>
                    <w:widowControl w:val="0"/>
                    <w:ind w:firstLine="0" w:firstLineChars="0"/>
                    <w:jc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胶浆</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4AD270C3">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r>
                    <w:rPr>
                      <w:rFonts w:hint="eastAsia" w:cs="Times New Roman"/>
                      <w:sz w:val="21"/>
                      <w:szCs w:val="21"/>
                      <w:highlight w:val="none"/>
                      <w:lang w:val="en-US" w:eastAsia="zh-CN"/>
                    </w:rPr>
                    <w:t>.3</w:t>
                  </w:r>
                </w:p>
              </w:tc>
              <w:tc>
                <w:tcPr>
                  <w:tcW w:w="1781" w:type="pct"/>
                  <w:tcBorders>
                    <w:top w:val="single" w:color="auto" w:sz="4" w:space="0"/>
                    <w:left w:val="single" w:color="auto" w:sz="4" w:space="0"/>
                    <w:bottom w:val="single" w:color="auto" w:sz="4" w:space="0"/>
                    <w:right w:val="single" w:color="auto" w:sz="4" w:space="0"/>
                  </w:tcBorders>
                  <w:noWrap w:val="0"/>
                  <w:vAlign w:val="center"/>
                </w:tcPr>
                <w:p w14:paraId="6741B978">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50</w:t>
                  </w:r>
                </w:p>
              </w:tc>
              <w:tc>
                <w:tcPr>
                  <w:tcW w:w="924" w:type="pct"/>
                  <w:tcBorders>
                    <w:top w:val="single" w:color="auto" w:sz="4" w:space="0"/>
                    <w:left w:val="single" w:color="auto" w:sz="4" w:space="0"/>
                    <w:bottom w:val="single" w:color="auto" w:sz="4" w:space="0"/>
                    <w:right w:val="nil"/>
                  </w:tcBorders>
                  <w:noWrap w:val="0"/>
                  <w:vAlign w:val="center"/>
                </w:tcPr>
                <w:p w14:paraId="3D4728D9">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0.02</w:t>
                  </w:r>
                  <w:r>
                    <w:rPr>
                      <w:rFonts w:hint="eastAsia" w:cs="Times New Roman"/>
                      <w:sz w:val="21"/>
                      <w:szCs w:val="21"/>
                      <w:highlight w:val="none"/>
                      <w:lang w:val="en-US" w:eastAsia="zh-CN"/>
                    </w:rPr>
                    <w:t>6</w:t>
                  </w:r>
                </w:p>
              </w:tc>
            </w:tr>
            <w:tr w14:paraId="4409D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pct"/>
                  <w:tcBorders>
                    <w:top w:val="single" w:color="auto" w:sz="4" w:space="0"/>
                    <w:left w:val="nil"/>
                    <w:bottom w:val="single" w:color="auto" w:sz="4" w:space="0"/>
                    <w:right w:val="single" w:color="auto" w:sz="4" w:space="0"/>
                  </w:tcBorders>
                  <w:noWrap w:val="0"/>
                  <w:vAlign w:val="center"/>
                </w:tcPr>
                <w:p w14:paraId="26E4EB8B">
                  <w:pPr>
                    <w:pStyle w:val="9"/>
                    <w:widowControl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AB2A1B8">
                  <w:pPr>
                    <w:pStyle w:val="9"/>
                    <w:widowControl w:val="0"/>
                    <w:ind w:firstLine="0" w:firstLineChars="0"/>
                    <w:jc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固浆</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193D9B5E">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r>
                    <w:rPr>
                      <w:rFonts w:hint="eastAsia" w:cs="Times New Roman"/>
                      <w:sz w:val="21"/>
                      <w:szCs w:val="21"/>
                      <w:highlight w:val="none"/>
                      <w:lang w:val="en-US" w:eastAsia="zh-CN"/>
                    </w:rPr>
                    <w:t>.3</w:t>
                  </w:r>
                </w:p>
              </w:tc>
              <w:tc>
                <w:tcPr>
                  <w:tcW w:w="1781" w:type="pct"/>
                  <w:tcBorders>
                    <w:top w:val="single" w:color="auto" w:sz="4" w:space="0"/>
                    <w:left w:val="single" w:color="auto" w:sz="4" w:space="0"/>
                    <w:bottom w:val="single" w:color="auto" w:sz="4" w:space="0"/>
                    <w:right w:val="single" w:color="auto" w:sz="4" w:space="0"/>
                  </w:tcBorders>
                  <w:noWrap w:val="0"/>
                  <w:vAlign w:val="center"/>
                </w:tcPr>
                <w:p w14:paraId="7320E728">
                  <w:pPr>
                    <w:pStyle w:val="9"/>
                    <w:widowControl w:val="0"/>
                    <w:ind w:firstLine="0" w:firstLineChars="0"/>
                    <w:jc w:val="center"/>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sz w:val="21"/>
                      <w:szCs w:val="21"/>
                      <w:highlight w:val="none"/>
                      <w:lang w:val="en-US" w:eastAsia="zh-CN"/>
                    </w:rPr>
                    <w:t>50</w:t>
                  </w:r>
                </w:p>
              </w:tc>
              <w:tc>
                <w:tcPr>
                  <w:tcW w:w="924" w:type="pct"/>
                  <w:tcBorders>
                    <w:top w:val="single" w:color="auto" w:sz="4" w:space="0"/>
                    <w:left w:val="single" w:color="auto" w:sz="4" w:space="0"/>
                    <w:bottom w:val="single" w:color="auto" w:sz="4" w:space="0"/>
                    <w:right w:val="nil"/>
                  </w:tcBorders>
                  <w:noWrap w:val="0"/>
                  <w:vAlign w:val="center"/>
                </w:tcPr>
                <w:p w14:paraId="7B4691F2">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0.02</w:t>
                  </w:r>
                  <w:r>
                    <w:rPr>
                      <w:rFonts w:hint="eastAsia" w:cs="Times New Roman"/>
                      <w:sz w:val="21"/>
                      <w:szCs w:val="21"/>
                      <w:highlight w:val="none"/>
                      <w:lang w:val="en-US" w:eastAsia="zh-CN"/>
                    </w:rPr>
                    <w:t>6</w:t>
                  </w:r>
                </w:p>
              </w:tc>
            </w:tr>
            <w:tr w14:paraId="50841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pct"/>
                  <w:tcBorders>
                    <w:top w:val="single" w:color="auto" w:sz="4" w:space="0"/>
                    <w:left w:val="nil"/>
                    <w:bottom w:val="single" w:color="auto" w:sz="4" w:space="0"/>
                    <w:right w:val="single" w:color="auto" w:sz="4" w:space="0"/>
                  </w:tcBorders>
                  <w:noWrap w:val="0"/>
                  <w:vAlign w:val="center"/>
                </w:tcPr>
                <w:p w14:paraId="4DCA6B3B">
                  <w:pPr>
                    <w:pStyle w:val="9"/>
                    <w:widowControl w:val="0"/>
                    <w:ind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7AD01ED5">
                  <w:pPr>
                    <w:pStyle w:val="9"/>
                    <w:widowControl w:val="0"/>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色种</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645C0DED">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w:t>
                  </w:r>
                </w:p>
              </w:tc>
              <w:tc>
                <w:tcPr>
                  <w:tcW w:w="1781" w:type="pct"/>
                  <w:tcBorders>
                    <w:top w:val="single" w:color="auto" w:sz="4" w:space="0"/>
                    <w:left w:val="single" w:color="auto" w:sz="4" w:space="0"/>
                    <w:bottom w:val="single" w:color="auto" w:sz="4" w:space="0"/>
                    <w:right w:val="single" w:color="auto" w:sz="4" w:space="0"/>
                  </w:tcBorders>
                  <w:noWrap w:val="0"/>
                  <w:vAlign w:val="center"/>
                </w:tcPr>
                <w:p w14:paraId="71AD3A47">
                  <w:pPr>
                    <w:pStyle w:val="9"/>
                    <w:widowControl w:val="0"/>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50</w:t>
                  </w:r>
                </w:p>
              </w:tc>
              <w:tc>
                <w:tcPr>
                  <w:tcW w:w="924" w:type="pct"/>
                  <w:tcBorders>
                    <w:top w:val="single" w:color="auto" w:sz="4" w:space="0"/>
                    <w:left w:val="single" w:color="auto" w:sz="4" w:space="0"/>
                    <w:bottom w:val="single" w:color="auto" w:sz="4" w:space="0"/>
                    <w:right w:val="nil"/>
                  </w:tcBorders>
                  <w:noWrap w:val="0"/>
                  <w:vAlign w:val="center"/>
                </w:tcPr>
                <w:p w14:paraId="26EDBA00">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w:t>
                  </w:r>
                  <w:r>
                    <w:rPr>
                      <w:rFonts w:hint="eastAsia" w:cs="Times New Roman"/>
                      <w:sz w:val="21"/>
                      <w:szCs w:val="21"/>
                      <w:highlight w:val="none"/>
                      <w:lang w:val="en-US" w:eastAsia="zh-CN"/>
                    </w:rPr>
                    <w:t>2</w:t>
                  </w:r>
                </w:p>
              </w:tc>
            </w:tr>
            <w:tr w14:paraId="29005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pct"/>
                  <w:tcBorders>
                    <w:top w:val="single" w:color="auto" w:sz="4" w:space="0"/>
                    <w:left w:val="nil"/>
                    <w:bottom w:val="single" w:color="auto" w:sz="4" w:space="0"/>
                    <w:right w:val="single" w:color="auto" w:sz="4" w:space="0"/>
                  </w:tcBorders>
                  <w:noWrap w:val="0"/>
                  <w:vAlign w:val="center"/>
                </w:tcPr>
                <w:p w14:paraId="3EECC45E">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29F1D154">
                  <w:pPr>
                    <w:pStyle w:val="9"/>
                    <w:widowControl w:val="0"/>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固色剂</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0120CD29">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w:t>
                  </w:r>
                </w:p>
              </w:tc>
              <w:tc>
                <w:tcPr>
                  <w:tcW w:w="1781" w:type="pct"/>
                  <w:tcBorders>
                    <w:top w:val="single" w:color="auto" w:sz="4" w:space="0"/>
                    <w:left w:val="single" w:color="auto" w:sz="4" w:space="0"/>
                    <w:bottom w:val="single" w:color="auto" w:sz="4" w:space="0"/>
                    <w:right w:val="single" w:color="auto" w:sz="4" w:space="0"/>
                  </w:tcBorders>
                  <w:noWrap w:val="0"/>
                  <w:vAlign w:val="center"/>
                </w:tcPr>
                <w:p w14:paraId="0875FCD5">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50</w:t>
                  </w:r>
                </w:p>
              </w:tc>
              <w:tc>
                <w:tcPr>
                  <w:tcW w:w="924" w:type="pct"/>
                  <w:tcBorders>
                    <w:top w:val="single" w:color="auto" w:sz="4" w:space="0"/>
                    <w:left w:val="single" w:color="auto" w:sz="4" w:space="0"/>
                    <w:bottom w:val="single" w:color="auto" w:sz="4" w:space="0"/>
                    <w:right w:val="nil"/>
                  </w:tcBorders>
                  <w:noWrap w:val="0"/>
                  <w:vAlign w:val="center"/>
                </w:tcPr>
                <w:p w14:paraId="6FEFAADA">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w:t>
                  </w:r>
                  <w:r>
                    <w:rPr>
                      <w:rFonts w:hint="eastAsia" w:cs="Times New Roman"/>
                      <w:sz w:val="21"/>
                      <w:szCs w:val="21"/>
                      <w:highlight w:val="none"/>
                      <w:lang w:val="en-US" w:eastAsia="zh-CN"/>
                    </w:rPr>
                    <w:t>2</w:t>
                  </w:r>
                </w:p>
              </w:tc>
            </w:tr>
            <w:tr w14:paraId="05871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pct"/>
                  <w:tcBorders>
                    <w:top w:val="single" w:color="auto" w:sz="4" w:space="0"/>
                    <w:left w:val="nil"/>
                    <w:bottom w:val="single" w:color="auto" w:sz="4" w:space="0"/>
                    <w:right w:val="single" w:color="auto" w:sz="4" w:space="0"/>
                  </w:tcBorders>
                  <w:noWrap w:val="0"/>
                  <w:vAlign w:val="center"/>
                </w:tcPr>
                <w:p w14:paraId="7B99A24D">
                  <w:pPr>
                    <w:pStyle w:val="9"/>
                    <w:widowControl w:val="0"/>
                    <w:ind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6CC74758">
                  <w:pPr>
                    <w:pStyle w:val="9"/>
                    <w:widowControl w:val="0"/>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感光胶</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3E46BBDC">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c>
                <w:tcPr>
                  <w:tcW w:w="1781" w:type="pct"/>
                  <w:tcBorders>
                    <w:top w:val="single" w:color="auto" w:sz="4" w:space="0"/>
                    <w:left w:val="single" w:color="auto" w:sz="4" w:space="0"/>
                    <w:bottom w:val="single" w:color="auto" w:sz="4" w:space="0"/>
                    <w:right w:val="single" w:color="auto" w:sz="4" w:space="0"/>
                  </w:tcBorders>
                  <w:noWrap w:val="0"/>
                  <w:vAlign w:val="center"/>
                </w:tcPr>
                <w:p w14:paraId="44D8F65E">
                  <w:pPr>
                    <w:pStyle w:val="9"/>
                    <w:widowControl w:val="0"/>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50</w:t>
                  </w:r>
                </w:p>
              </w:tc>
              <w:tc>
                <w:tcPr>
                  <w:tcW w:w="924" w:type="pct"/>
                  <w:tcBorders>
                    <w:top w:val="single" w:color="auto" w:sz="4" w:space="0"/>
                    <w:left w:val="single" w:color="auto" w:sz="4" w:space="0"/>
                    <w:bottom w:val="single" w:color="auto" w:sz="4" w:space="0"/>
                    <w:right w:val="nil"/>
                  </w:tcBorders>
                  <w:noWrap w:val="0"/>
                  <w:vAlign w:val="center"/>
                </w:tcPr>
                <w:p w14:paraId="6FF67EA5">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0.002</w:t>
                  </w:r>
                </w:p>
              </w:tc>
            </w:tr>
            <w:tr w14:paraId="1EE05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pct"/>
                  <w:tcBorders>
                    <w:top w:val="single" w:color="auto" w:sz="4" w:space="0"/>
                    <w:left w:val="nil"/>
                    <w:bottom w:val="single" w:color="auto" w:sz="4" w:space="0"/>
                    <w:right w:val="single" w:color="auto" w:sz="4" w:space="0"/>
                  </w:tcBorders>
                  <w:noWrap w:val="0"/>
                  <w:vAlign w:val="center"/>
                </w:tcPr>
                <w:p w14:paraId="66743014">
                  <w:pPr>
                    <w:pStyle w:val="9"/>
                    <w:widowControl w:val="0"/>
                    <w:ind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092B66BE">
                  <w:pPr>
                    <w:pStyle w:val="9"/>
                    <w:widowControl w:val="0"/>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废菲林片</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702AB0B9">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c>
                <w:tcPr>
                  <w:tcW w:w="1781" w:type="pct"/>
                  <w:tcBorders>
                    <w:top w:val="single" w:color="auto" w:sz="4" w:space="0"/>
                    <w:left w:val="single" w:color="auto" w:sz="4" w:space="0"/>
                    <w:bottom w:val="single" w:color="auto" w:sz="4" w:space="0"/>
                    <w:right w:val="single" w:color="auto" w:sz="4" w:space="0"/>
                  </w:tcBorders>
                  <w:noWrap w:val="0"/>
                  <w:vAlign w:val="center"/>
                </w:tcPr>
                <w:p w14:paraId="3818E1DA">
                  <w:pPr>
                    <w:pStyle w:val="9"/>
                    <w:widowControl w:val="0"/>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50</w:t>
                  </w:r>
                </w:p>
              </w:tc>
              <w:tc>
                <w:tcPr>
                  <w:tcW w:w="924" w:type="pct"/>
                  <w:tcBorders>
                    <w:top w:val="single" w:color="auto" w:sz="4" w:space="0"/>
                    <w:left w:val="single" w:color="auto" w:sz="4" w:space="0"/>
                    <w:bottom w:val="single" w:color="auto" w:sz="4" w:space="0"/>
                    <w:right w:val="nil"/>
                  </w:tcBorders>
                  <w:noWrap w:val="0"/>
                  <w:vAlign w:val="center"/>
                </w:tcPr>
                <w:p w14:paraId="421841B1">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0.002</w:t>
                  </w:r>
                </w:p>
              </w:tc>
            </w:tr>
            <w:tr w14:paraId="0A596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pct"/>
                  <w:tcBorders>
                    <w:top w:val="single" w:color="auto" w:sz="4" w:space="0"/>
                    <w:left w:val="nil"/>
                    <w:bottom w:val="single" w:color="auto" w:sz="4" w:space="0"/>
                    <w:right w:val="single" w:color="auto" w:sz="4" w:space="0"/>
                  </w:tcBorders>
                  <w:noWrap w:val="0"/>
                  <w:vAlign w:val="center"/>
                </w:tcPr>
                <w:p w14:paraId="44E915ED">
                  <w:pPr>
                    <w:pStyle w:val="9"/>
                    <w:widowControl w:val="0"/>
                    <w:ind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90040BC">
                  <w:pPr>
                    <w:pStyle w:val="9"/>
                    <w:widowControl w:val="0"/>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废丝印版框</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3D4FBBCA">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w:t>
                  </w:r>
                </w:p>
              </w:tc>
              <w:tc>
                <w:tcPr>
                  <w:tcW w:w="1781" w:type="pct"/>
                  <w:tcBorders>
                    <w:top w:val="single" w:color="auto" w:sz="4" w:space="0"/>
                    <w:left w:val="single" w:color="auto" w:sz="4" w:space="0"/>
                    <w:bottom w:val="single" w:color="auto" w:sz="4" w:space="0"/>
                    <w:right w:val="single" w:color="auto" w:sz="4" w:space="0"/>
                  </w:tcBorders>
                  <w:noWrap w:val="0"/>
                  <w:vAlign w:val="center"/>
                </w:tcPr>
                <w:p w14:paraId="1CD3C662">
                  <w:pPr>
                    <w:pStyle w:val="9"/>
                    <w:widowControl w:val="0"/>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50</w:t>
                  </w:r>
                </w:p>
              </w:tc>
              <w:tc>
                <w:tcPr>
                  <w:tcW w:w="924" w:type="pct"/>
                  <w:tcBorders>
                    <w:top w:val="single" w:color="auto" w:sz="4" w:space="0"/>
                    <w:left w:val="single" w:color="auto" w:sz="4" w:space="0"/>
                    <w:bottom w:val="single" w:color="auto" w:sz="4" w:space="0"/>
                    <w:right w:val="nil"/>
                  </w:tcBorders>
                  <w:noWrap w:val="0"/>
                  <w:vAlign w:val="center"/>
                </w:tcPr>
                <w:p w14:paraId="01570E6D">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0.004</w:t>
                  </w:r>
                </w:p>
              </w:tc>
            </w:tr>
            <w:tr w14:paraId="64027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pct"/>
                  <w:tcBorders>
                    <w:top w:val="single" w:color="auto" w:sz="4" w:space="0"/>
                    <w:left w:val="nil"/>
                    <w:bottom w:val="single" w:color="auto" w:sz="4" w:space="0"/>
                    <w:right w:val="single" w:color="auto" w:sz="4" w:space="0"/>
                  </w:tcBorders>
                  <w:noWrap w:val="0"/>
                  <w:vAlign w:val="center"/>
                </w:tcPr>
                <w:p w14:paraId="6F9ABBB4">
                  <w:pPr>
                    <w:pStyle w:val="9"/>
                    <w:widowControl w:val="0"/>
                    <w:ind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49564F54">
                  <w:pPr>
                    <w:pStyle w:val="9"/>
                    <w:widowControl w:val="0"/>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沉淀污泥</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058BF1D0">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0.223</w:t>
                  </w:r>
                </w:p>
              </w:tc>
              <w:tc>
                <w:tcPr>
                  <w:tcW w:w="1781" w:type="pct"/>
                  <w:tcBorders>
                    <w:top w:val="single" w:color="auto" w:sz="4" w:space="0"/>
                    <w:left w:val="single" w:color="auto" w:sz="4" w:space="0"/>
                    <w:bottom w:val="single" w:color="auto" w:sz="4" w:space="0"/>
                    <w:right w:val="single" w:color="auto" w:sz="4" w:space="0"/>
                  </w:tcBorders>
                  <w:noWrap w:val="0"/>
                  <w:vAlign w:val="center"/>
                </w:tcPr>
                <w:p w14:paraId="049CD54A">
                  <w:pPr>
                    <w:pStyle w:val="9"/>
                    <w:widowControl w:val="0"/>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50</w:t>
                  </w:r>
                </w:p>
              </w:tc>
              <w:tc>
                <w:tcPr>
                  <w:tcW w:w="924" w:type="pct"/>
                  <w:tcBorders>
                    <w:top w:val="single" w:color="auto" w:sz="4" w:space="0"/>
                    <w:left w:val="single" w:color="auto" w:sz="4" w:space="0"/>
                    <w:bottom w:val="single" w:color="auto" w:sz="4" w:space="0"/>
                    <w:right w:val="nil"/>
                  </w:tcBorders>
                  <w:noWrap w:val="0"/>
                  <w:vAlign w:val="center"/>
                </w:tcPr>
                <w:p w14:paraId="300991A5">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r>
                    <w:rPr>
                      <w:rFonts w:hint="eastAsia" w:cs="Times New Roman"/>
                      <w:sz w:val="21"/>
                      <w:szCs w:val="21"/>
                      <w:highlight w:val="none"/>
                      <w:lang w:val="en-US" w:eastAsia="zh-CN"/>
                    </w:rPr>
                    <w:t>.00446</w:t>
                  </w:r>
                </w:p>
              </w:tc>
            </w:tr>
            <w:tr w14:paraId="2D401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pct"/>
                  <w:tcBorders>
                    <w:top w:val="single" w:color="auto" w:sz="4" w:space="0"/>
                    <w:left w:val="nil"/>
                    <w:bottom w:val="single" w:color="auto" w:sz="4" w:space="0"/>
                    <w:right w:val="single" w:color="auto" w:sz="4" w:space="0"/>
                  </w:tcBorders>
                  <w:noWrap w:val="0"/>
                  <w:vAlign w:val="center"/>
                </w:tcPr>
                <w:p w14:paraId="356506D5">
                  <w:pPr>
                    <w:pStyle w:val="9"/>
                    <w:widowControl w:val="0"/>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9</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49A5FF5D">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废活性炭</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54B63FF6">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r>
                    <w:rPr>
                      <w:rFonts w:hint="eastAsia" w:cs="Times New Roman"/>
                      <w:sz w:val="21"/>
                      <w:szCs w:val="21"/>
                      <w:highlight w:val="none"/>
                      <w:lang w:val="en-US" w:eastAsia="zh-CN"/>
                    </w:rPr>
                    <w:t>913</w:t>
                  </w:r>
                </w:p>
              </w:tc>
              <w:tc>
                <w:tcPr>
                  <w:tcW w:w="1781" w:type="pct"/>
                  <w:tcBorders>
                    <w:top w:val="single" w:color="auto" w:sz="4" w:space="0"/>
                    <w:left w:val="single" w:color="auto" w:sz="4" w:space="0"/>
                    <w:bottom w:val="single" w:color="auto" w:sz="4" w:space="0"/>
                    <w:right w:val="single" w:color="auto" w:sz="4" w:space="0"/>
                  </w:tcBorders>
                  <w:noWrap w:val="0"/>
                  <w:vAlign w:val="center"/>
                </w:tcPr>
                <w:p w14:paraId="67354331">
                  <w:pPr>
                    <w:pStyle w:val="9"/>
                    <w:widowControl w:val="0"/>
                    <w:ind w:firstLine="0" w:firstLineChars="0"/>
                    <w:jc w:val="center"/>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sz w:val="21"/>
                      <w:szCs w:val="21"/>
                      <w:highlight w:val="none"/>
                      <w:lang w:val="en-US" w:eastAsia="zh-CN"/>
                    </w:rPr>
                    <w:t>50</w:t>
                  </w:r>
                </w:p>
              </w:tc>
              <w:tc>
                <w:tcPr>
                  <w:tcW w:w="924" w:type="pct"/>
                  <w:tcBorders>
                    <w:top w:val="single" w:color="auto" w:sz="4" w:space="0"/>
                    <w:left w:val="single" w:color="auto" w:sz="4" w:space="0"/>
                    <w:bottom w:val="single" w:color="auto" w:sz="4" w:space="0"/>
                    <w:right w:val="nil"/>
                  </w:tcBorders>
                  <w:noWrap w:val="0"/>
                  <w:vAlign w:val="center"/>
                </w:tcPr>
                <w:p w14:paraId="0F8B7205">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0.01</w:t>
                  </w:r>
                  <w:r>
                    <w:rPr>
                      <w:rFonts w:hint="eastAsia" w:cs="Times New Roman"/>
                      <w:sz w:val="21"/>
                      <w:szCs w:val="21"/>
                      <w:highlight w:val="none"/>
                      <w:lang w:val="en-US" w:eastAsia="zh-CN"/>
                    </w:rPr>
                    <w:t>826</w:t>
                  </w:r>
                </w:p>
              </w:tc>
            </w:tr>
            <w:tr w14:paraId="70949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75" w:type="pct"/>
                  <w:gridSpan w:val="4"/>
                  <w:tcBorders>
                    <w:top w:val="single" w:color="auto" w:sz="4" w:space="0"/>
                    <w:left w:val="nil"/>
                    <w:bottom w:val="single" w:color="auto" w:sz="12" w:space="0"/>
                    <w:right w:val="single" w:color="auto" w:sz="4" w:space="0"/>
                  </w:tcBorders>
                  <w:noWrap w:val="0"/>
                  <w:vAlign w:val="center"/>
                </w:tcPr>
                <w:p w14:paraId="01757917">
                  <w:pPr>
                    <w:pStyle w:val="9"/>
                    <w:widowControl w:val="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比值Q</w:t>
                  </w:r>
                </w:p>
              </w:tc>
              <w:tc>
                <w:tcPr>
                  <w:tcW w:w="924" w:type="pct"/>
                  <w:tcBorders>
                    <w:top w:val="single" w:color="auto" w:sz="4" w:space="0"/>
                    <w:left w:val="single" w:color="auto" w:sz="4" w:space="0"/>
                    <w:bottom w:val="single" w:color="auto" w:sz="12" w:space="0"/>
                    <w:right w:val="nil"/>
                  </w:tcBorders>
                  <w:noWrap w:val="0"/>
                  <w:vAlign w:val="center"/>
                </w:tcPr>
                <w:p w14:paraId="75529CE9">
                  <w:pPr>
                    <w:pStyle w:val="9"/>
                    <w:widowControl w:val="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r>
                    <w:rPr>
                      <w:rFonts w:hint="eastAsia" w:cs="Times New Roman"/>
                      <w:sz w:val="21"/>
                      <w:szCs w:val="21"/>
                      <w:highlight w:val="none"/>
                      <w:lang w:val="en-US" w:eastAsia="zh-CN"/>
                    </w:rPr>
                    <w:t>2272</w:t>
                  </w:r>
                </w:p>
              </w:tc>
            </w:tr>
          </w:tbl>
          <w:p w14:paraId="6241D8E4">
            <w:pPr>
              <w:autoSpaceDE w:val="0"/>
              <w:adjustRightInd w:val="0"/>
              <w:snapToGrid w:val="0"/>
              <w:spacing w:before="120" w:beforeLines="50" w:line="360" w:lineRule="auto"/>
              <w:ind w:firstLine="480" w:firstLineChars="200"/>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根据HJ169-2018《建设项目环境风险评价技术导则》附录C中C.1.1危险物质数量与临界量比值Q计算公式C.1可知，项目Q＜1，该项目环境风险潜势为Ⅰ</w:t>
            </w:r>
            <w:r>
              <w:rPr>
                <w:rFonts w:hint="eastAsia" w:ascii="Times New Roman" w:hAnsi="Times New Roman" w:eastAsia="宋体" w:cs="Times New Roman"/>
                <w:sz w:val="24"/>
                <w:szCs w:val="24"/>
                <w:highlight w:val="none"/>
                <w:lang w:eastAsia="zh-CN"/>
              </w:rPr>
              <w:t>，可需简单分析。</w:t>
            </w:r>
          </w:p>
          <w:p w14:paraId="13F29F94">
            <w:pPr>
              <w:pStyle w:val="56"/>
              <w:keepLines w:val="0"/>
              <w:pageBreakBefore w:val="0"/>
              <w:widowControl w:val="0"/>
              <w:kinsoku/>
              <w:wordWrap/>
              <w:topLinePunct w:val="0"/>
              <w:autoSpaceDN/>
              <w:bidi w:val="0"/>
              <w:adjustRightInd w:val="0"/>
              <w:snapToGrid w:val="0"/>
              <w:spacing w:before="0" w:beforeLines="0" w:after="0" w:afterLines="0" w:line="360" w:lineRule="auto"/>
              <w:ind w:left="0" w:leftChars="0" w:firstLine="480" w:firstLineChars="200"/>
              <w:textAlignment w:val="auto"/>
              <w:outlineLvl w:val="9"/>
              <w:rPr>
                <w:rFonts w:hint="default" w:ascii="Times New Roman" w:hAnsi="Times New Roman" w:eastAsia="宋体" w:cs="Times New Roman"/>
                <w:b w:val="0"/>
                <w:bCs w:val="0"/>
                <w:color w:val="000000"/>
                <w:sz w:val="24"/>
                <w:szCs w:val="24"/>
                <w:highlight w:val="none"/>
              </w:rPr>
            </w:pPr>
            <w:bookmarkStart w:id="64" w:name="_Toc24767"/>
            <w:bookmarkStart w:id="65" w:name="_Toc11604063"/>
            <w:bookmarkStart w:id="66" w:name="_Toc4939"/>
            <w:r>
              <w:rPr>
                <w:rFonts w:hint="default"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lang w:val="en-US" w:eastAsia="zh-CN"/>
              </w:rPr>
              <w:t>2</w:t>
            </w:r>
            <w:r>
              <w:rPr>
                <w:rFonts w:hint="default"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环境风险类型及危害分析</w:t>
            </w:r>
            <w:bookmarkEnd w:id="64"/>
            <w:bookmarkEnd w:id="65"/>
            <w:bookmarkEnd w:id="66"/>
          </w:p>
          <w:p w14:paraId="4F38B5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环境风险类型包括危险物质泄漏、以及火灾、爆炸等引发的伴生/次生污染事故。泄漏物可能流入外环境，进入周边水体，可能对周边水体的水质造成污染；燃烧产生的次生大气污染物以无组织方式排放、扩散进入大气</w:t>
            </w:r>
            <w:r>
              <w:rPr>
                <w:rFonts w:hint="default" w:ascii="Times New Roman" w:hAnsi="Times New Roman" w:eastAsia="宋体" w:cs="Times New Roman"/>
                <w:bCs/>
                <w:color w:val="000000"/>
                <w:sz w:val="24"/>
                <w:highlight w:val="none"/>
              </w:rPr>
              <w:t>，可能对周边局部大气环境造成一定影响</w:t>
            </w:r>
            <w:r>
              <w:rPr>
                <w:rFonts w:hint="default" w:ascii="Times New Roman" w:hAnsi="Times New Roman" w:eastAsia="宋体" w:cs="Times New Roman"/>
                <w:color w:val="000000"/>
                <w:sz w:val="24"/>
                <w:highlight w:val="none"/>
              </w:rPr>
              <w:t>，应对其高度重视，严格作好事故风险防范措施。</w:t>
            </w:r>
          </w:p>
          <w:p w14:paraId="3D6C8073">
            <w:pPr>
              <w:pStyle w:val="56"/>
              <w:keepLines w:val="0"/>
              <w:pageBreakBefore w:val="0"/>
              <w:widowControl w:val="0"/>
              <w:kinsoku/>
              <w:wordWrap/>
              <w:topLinePunct w:val="0"/>
              <w:autoSpaceDN/>
              <w:bidi w:val="0"/>
              <w:adjustRightInd w:val="0"/>
              <w:snapToGrid w:val="0"/>
              <w:spacing w:before="0" w:beforeLines="0" w:after="0" w:afterLines="0" w:line="360" w:lineRule="auto"/>
              <w:ind w:left="0" w:leftChars="0" w:firstLine="480" w:firstLineChars="200"/>
              <w:textAlignment w:val="auto"/>
              <w:outlineLvl w:val="9"/>
              <w:rPr>
                <w:rFonts w:hint="default" w:ascii="Times New Roman" w:hAnsi="Times New Roman" w:eastAsia="宋体" w:cs="Times New Roman"/>
                <w:b w:val="0"/>
                <w:bCs/>
                <w:color w:val="000000"/>
                <w:sz w:val="24"/>
                <w:szCs w:val="24"/>
                <w:highlight w:val="none"/>
              </w:rPr>
            </w:pPr>
            <w:bookmarkStart w:id="67" w:name="_Toc24227"/>
            <w:bookmarkStart w:id="68" w:name="_Toc31400"/>
            <w:r>
              <w:rPr>
                <w:rFonts w:hint="default" w:ascii="Times New Roman" w:hAnsi="Times New Roman" w:eastAsia="宋体"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lang w:val="en-US" w:eastAsia="zh-CN"/>
              </w:rPr>
              <w:t>3</w:t>
            </w:r>
            <w:r>
              <w:rPr>
                <w:rFonts w:hint="default" w:ascii="Times New Roman" w:hAnsi="Times New Roman" w:eastAsia="宋体" w:cs="Times New Roman"/>
                <w:b w:val="0"/>
                <w:bCs/>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防范措施</w:t>
            </w:r>
            <w:bookmarkEnd w:id="67"/>
            <w:bookmarkEnd w:id="68"/>
          </w:p>
          <w:p w14:paraId="6883F1AB">
            <w:pPr>
              <w:autoSpaceDE w:val="0"/>
              <w:adjustRightInd w:val="0"/>
              <w:snapToGrid w:val="0"/>
              <w:spacing w:beforeLines="0"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w:t>
            </w:r>
            <w:r>
              <w:rPr>
                <w:rFonts w:hint="default" w:ascii="Times New Roman" w:hAnsi="Times New Roman" w:eastAsia="宋体" w:cs="Times New Roman"/>
                <w:color w:val="000000"/>
                <w:sz w:val="24"/>
                <w:szCs w:val="24"/>
                <w:highlight w:val="none"/>
                <w:lang w:eastAsia="zh-CN"/>
              </w:rPr>
              <w:t>项目涉及环境风险的物料</w:t>
            </w:r>
            <w:r>
              <w:rPr>
                <w:rFonts w:hint="default" w:ascii="Times New Roman" w:hAnsi="Times New Roman" w:eastAsia="宋体" w:cs="Times New Roman"/>
                <w:color w:val="000000"/>
                <w:sz w:val="24"/>
                <w:szCs w:val="24"/>
                <w:highlight w:val="none"/>
              </w:rPr>
              <w:t>存储容器密闭包装，无滴漏，入库时，有完整、准确、清晰的产品包装标志、检验合格证和说明书。</w:t>
            </w:r>
          </w:p>
          <w:p w14:paraId="15438806">
            <w:pPr>
              <w:autoSpaceDE w:val="0"/>
              <w:adjustRightInd w:val="0"/>
              <w:snapToGrid w:val="0"/>
              <w:spacing w:beforeLines="0"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2）桶装原料的包装桶应设置托盘存放</w:t>
            </w:r>
            <w:r>
              <w:rPr>
                <w:rFonts w:hint="eastAsia" w:ascii="Times New Roman" w:hAnsi="Times New Roman" w:eastAsia="宋体" w:cs="Times New Roman"/>
                <w:color w:val="000000"/>
                <w:sz w:val="24"/>
                <w:szCs w:val="24"/>
                <w:highlight w:val="none"/>
                <w:lang w:eastAsia="zh-CN"/>
              </w:rPr>
              <w:t>，四周做好围堰</w:t>
            </w:r>
            <w:r>
              <w:rPr>
                <w:rFonts w:hint="default" w:ascii="Times New Roman" w:hAnsi="Times New Roman" w:eastAsia="宋体" w:cs="Times New Roman"/>
                <w:color w:val="000000"/>
                <w:sz w:val="24"/>
                <w:szCs w:val="24"/>
                <w:highlight w:val="none"/>
              </w:rPr>
              <w:t>。</w:t>
            </w:r>
          </w:p>
          <w:p w14:paraId="4732F2BB">
            <w:pPr>
              <w:autoSpaceDE w:val="0"/>
              <w:adjustRightInd w:val="0"/>
              <w:snapToGrid w:val="0"/>
              <w:spacing w:beforeLines="0"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3）制定安全生产责任制度和管理制度，明确规定员工上岗前的培训要求，上岗前的安全准备措施和工作中的安全要求。</w:t>
            </w:r>
          </w:p>
          <w:p w14:paraId="3AD076BC">
            <w:pPr>
              <w:autoSpaceDE w:val="0"/>
              <w:adjustRightInd w:val="0"/>
              <w:snapToGrid w:val="0"/>
              <w:spacing w:beforeLines="0" w:line="36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rPr>
              <w:t>4）</w:t>
            </w:r>
            <w:r>
              <w:rPr>
                <w:rFonts w:hint="default" w:ascii="Times New Roman" w:hAnsi="Times New Roman" w:eastAsia="宋体" w:cs="Times New Roman"/>
                <w:color w:val="000000"/>
                <w:sz w:val="24"/>
                <w:szCs w:val="24"/>
                <w:highlight w:val="none"/>
                <w:lang w:val="en-US" w:eastAsia="zh-CN"/>
              </w:rPr>
              <w:t>若发生物料泄漏时，应及时处置，更换贮存容器；</w:t>
            </w:r>
          </w:p>
          <w:p w14:paraId="00B7FFDC">
            <w:pPr>
              <w:autoSpaceDE w:val="0"/>
              <w:adjustRightInd w:val="0"/>
              <w:snapToGrid w:val="0"/>
              <w:spacing w:beforeLines="0"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加强安全管理，由专人负责，在各车间和仓库并在存放点配备相应品种和数量的消防器材（干粉灭火器）及泄漏应急处理设备，仓库应备有泄漏应急处理设备和合适的收容材料。</w:t>
            </w:r>
          </w:p>
          <w:p w14:paraId="05AD1F9E">
            <w:pPr>
              <w:autoSpaceDE w:val="0"/>
              <w:adjustRightInd w:val="0"/>
              <w:snapToGrid w:val="0"/>
              <w:spacing w:beforeLines="0"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val="en-US" w:eastAsia="zh-CN"/>
              </w:rPr>
              <w:t>6</w:t>
            </w:r>
            <w:r>
              <w:rPr>
                <w:rFonts w:hint="default" w:ascii="Times New Roman" w:hAnsi="Times New Roman" w:eastAsia="宋体" w:cs="Times New Roman"/>
                <w:color w:val="000000"/>
                <w:sz w:val="24"/>
                <w:szCs w:val="24"/>
                <w:highlight w:val="none"/>
              </w:rPr>
              <w:t>）生产区和仓库区内禁止明火、设置严禁烟火的标识。</w:t>
            </w:r>
          </w:p>
          <w:p w14:paraId="165C54EA">
            <w:pPr>
              <w:autoSpaceDE w:val="0"/>
              <w:adjustRightInd w:val="0"/>
              <w:snapToGrid w:val="0"/>
              <w:spacing w:beforeLines="0"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val="en-US" w:eastAsia="zh-CN"/>
              </w:rPr>
              <w:t>7</w:t>
            </w:r>
            <w:r>
              <w:rPr>
                <w:rFonts w:hint="default" w:ascii="Times New Roman" w:hAnsi="Times New Roman" w:eastAsia="宋体" w:cs="Times New Roman"/>
                <w:color w:val="000000"/>
                <w:sz w:val="24"/>
                <w:szCs w:val="24"/>
                <w:highlight w:val="none"/>
              </w:rPr>
              <w:t>）生产单元、仓库内应设火灾报警信号系统，一旦发生明火，立即启动报警装置。</w:t>
            </w:r>
          </w:p>
          <w:p w14:paraId="53801DBB">
            <w:pPr>
              <w:autoSpaceDE w:val="0"/>
              <w:adjustRightInd w:val="0"/>
              <w:snapToGrid w:val="0"/>
              <w:spacing w:beforeLines="0"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lang w:eastAsia="zh-CN"/>
              </w:rPr>
              <w:t>危险废物暂存应要求做好防渗措施，由专人定期巡视。</w:t>
            </w:r>
          </w:p>
          <w:p w14:paraId="0FC7652C">
            <w:pPr>
              <w:pStyle w:val="2"/>
              <w:keepLines w:val="0"/>
              <w:pageBreakBefore w:val="0"/>
              <w:widowControl w:val="0"/>
              <w:kinsoku/>
              <w:wordWrap/>
              <w:topLinePunct w:val="0"/>
              <w:autoSpaceDN/>
              <w:bidi w:val="0"/>
              <w:spacing w:after="0"/>
              <w:ind w:left="0" w:leftChars="0" w:firstLine="480" w:firstLineChars="200"/>
              <w:textAlignment w:val="auto"/>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通过采取以上措施及应急处置，项目环境风险是可防控的。</w:t>
            </w:r>
          </w:p>
          <w:p w14:paraId="785AD310">
            <w:pPr>
              <w:pStyle w:val="56"/>
              <w:widowControl/>
              <w:adjustRightInd w:val="0"/>
              <w:snapToGrid w:val="0"/>
              <w:spacing w:before="0" w:beforeLines="0" w:after="0" w:afterLines="0" w:line="360" w:lineRule="auto"/>
              <w:outlineLvl w:val="1"/>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4.</w:t>
            </w:r>
            <w:r>
              <w:rPr>
                <w:rFonts w:hint="eastAsia" w:ascii="Times New Roman" w:hAnsi="Times New Roman" w:eastAsia="宋体" w:cs="Times New Roman"/>
                <w:color w:val="000000"/>
                <w:highlight w:val="none"/>
                <w:lang w:val="en-US" w:eastAsia="zh-CN"/>
              </w:rPr>
              <w:t>7污染物排放</w:t>
            </w:r>
            <w:r>
              <w:rPr>
                <w:rFonts w:hint="default" w:ascii="Times New Roman" w:hAnsi="Times New Roman" w:eastAsia="宋体" w:cs="Times New Roman"/>
                <w:color w:val="000000"/>
                <w:highlight w:val="none"/>
              </w:rPr>
              <w:t>“三本账”分析</w:t>
            </w:r>
          </w:p>
          <w:p w14:paraId="6962C909">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eastAsia="宋体" w:cs="Times New Roman"/>
                <w:color w:val="000000"/>
                <w:kern w:val="0"/>
                <w:sz w:val="24"/>
                <w:highlight w:val="none"/>
              </w:rPr>
            </w:pPr>
            <w:r>
              <w:rPr>
                <w:rFonts w:hint="eastAsia"/>
                <w:color w:val="000000"/>
                <w:kern w:val="0"/>
                <w:sz w:val="24"/>
                <w:highlight w:val="none"/>
                <w:lang w:eastAsia="zh-CN"/>
              </w:rPr>
              <w:t>改扩建前后，隆泰公司全厂污染物排放</w:t>
            </w:r>
            <w:r>
              <w:rPr>
                <w:rFonts w:hint="eastAsia"/>
                <w:color w:val="000000"/>
                <w:kern w:val="0"/>
                <w:sz w:val="24"/>
                <w:highlight w:val="none"/>
              </w:rPr>
              <w:t>“三本</w:t>
            </w:r>
            <w:r>
              <w:rPr>
                <w:rFonts w:hint="default" w:ascii="Times New Roman" w:hAnsi="Times New Roman" w:eastAsia="宋体" w:cs="Times New Roman"/>
                <w:color w:val="000000"/>
                <w:kern w:val="0"/>
                <w:sz w:val="24"/>
                <w:highlight w:val="none"/>
              </w:rPr>
              <w:t>帐</w:t>
            </w:r>
            <w:r>
              <w:rPr>
                <w:rFonts w:hint="eastAsia" w:cs="Times New Roman"/>
                <w:color w:val="000000"/>
                <w:kern w:val="0"/>
                <w:sz w:val="24"/>
                <w:highlight w:val="none"/>
                <w:lang w:eastAsia="zh-CN"/>
              </w:rPr>
              <w:t>”</w:t>
            </w:r>
            <w:r>
              <w:rPr>
                <w:rFonts w:hint="eastAsia" w:ascii="Times New Roman" w:hAnsi="Times New Roman" w:eastAsia="宋体" w:cs="Times New Roman"/>
                <w:color w:val="000000"/>
                <w:kern w:val="0"/>
                <w:sz w:val="24"/>
                <w:highlight w:val="none"/>
                <w:lang w:eastAsia="zh-CN"/>
              </w:rPr>
              <w:t>如下</w:t>
            </w:r>
            <w:r>
              <w:rPr>
                <w:rFonts w:hint="default" w:ascii="Times New Roman" w:hAnsi="Times New Roman" w:eastAsia="宋体" w:cs="Times New Roman"/>
                <w:color w:val="000000"/>
                <w:kern w:val="0"/>
                <w:sz w:val="24"/>
                <w:highlight w:val="none"/>
              </w:rPr>
              <w:t>。</w:t>
            </w:r>
          </w:p>
          <w:p w14:paraId="53C2245E">
            <w:pPr>
              <w:numPr>
                <w:ilvl w:val="0"/>
                <w:numId w:val="0"/>
              </w:numPr>
              <w:snapToGrid w:val="0"/>
              <w:spacing w:before="0" w:beforeLines="0"/>
              <w:ind w:leftChars="0"/>
              <w:jc w:val="center"/>
              <w:rPr>
                <w:rFonts w:hint="eastAsia" w:eastAsia="黑体"/>
                <w:color w:val="000000"/>
                <w:sz w:val="24"/>
                <w:highlight w:val="none"/>
              </w:rPr>
            </w:pPr>
            <w:r>
              <w:rPr>
                <w:rFonts w:hint="eastAsia" w:ascii="Times New Roman" w:hAnsi="Times New Roman" w:eastAsia="宋体" w:cs="Times New Roman"/>
                <w:b/>
                <w:bCs/>
                <w:color w:val="000000"/>
                <w:kern w:val="2"/>
                <w:sz w:val="24"/>
                <w:szCs w:val="24"/>
                <w:highlight w:val="none"/>
                <w:lang w:val="en-US" w:eastAsia="zh-CN" w:bidi="ar-SA"/>
              </w:rPr>
              <w:t>表4-2</w:t>
            </w:r>
            <w:r>
              <w:rPr>
                <w:rFonts w:hint="eastAsia" w:cs="Times New Roman"/>
                <w:b/>
                <w:bCs/>
                <w:color w:val="000000"/>
                <w:kern w:val="2"/>
                <w:sz w:val="24"/>
                <w:szCs w:val="24"/>
                <w:highlight w:val="none"/>
                <w:lang w:val="en-US" w:eastAsia="zh-CN" w:bidi="ar-SA"/>
              </w:rPr>
              <w:t>6</w:t>
            </w:r>
            <w:r>
              <w:rPr>
                <w:rFonts w:hint="eastAsia" w:ascii="Times New Roman" w:hAnsi="Times New Roman" w:eastAsia="宋体" w:cs="Times New Roman"/>
                <w:b/>
                <w:bCs/>
                <w:color w:val="000000"/>
                <w:kern w:val="2"/>
                <w:sz w:val="24"/>
                <w:szCs w:val="24"/>
                <w:highlight w:val="none"/>
                <w:lang w:val="en-US" w:eastAsia="zh-CN" w:bidi="ar-SA"/>
              </w:rPr>
              <w:t xml:space="preserve"> </w:t>
            </w:r>
            <w:r>
              <w:rPr>
                <w:rFonts w:hint="eastAsia" w:cs="Times New Roman"/>
                <w:b/>
                <w:bCs/>
                <w:color w:val="000000"/>
                <w:kern w:val="2"/>
                <w:sz w:val="24"/>
                <w:szCs w:val="24"/>
                <w:highlight w:val="none"/>
                <w:lang w:val="en-US" w:eastAsia="zh-CN" w:bidi="ar-SA"/>
              </w:rPr>
              <w:t>改</w:t>
            </w:r>
            <w:r>
              <w:rPr>
                <w:rFonts w:hint="eastAsia" w:ascii="Times New Roman" w:hAnsi="Times New Roman" w:eastAsia="宋体" w:cs="Times New Roman"/>
                <w:b/>
                <w:bCs/>
                <w:color w:val="000000"/>
                <w:kern w:val="2"/>
                <w:sz w:val="24"/>
                <w:szCs w:val="24"/>
                <w:highlight w:val="none"/>
                <w:lang w:val="en-US" w:eastAsia="zh-CN" w:bidi="ar-SA"/>
              </w:rPr>
              <w:t>扩建前后主要污染物“三本帐”一览表</w:t>
            </w:r>
            <w:r>
              <w:rPr>
                <w:rFonts w:hint="default" w:ascii="Times New Roman" w:hAnsi="Times New Roman" w:eastAsia="宋体" w:cs="Times New Roman"/>
                <w:b/>
                <w:bCs/>
                <w:color w:val="000000"/>
                <w:kern w:val="2"/>
                <w:sz w:val="24"/>
                <w:szCs w:val="24"/>
                <w:highlight w:val="none"/>
                <w:lang w:val="en-US" w:eastAsia="zh-CN" w:bidi="ar-SA"/>
              </w:rPr>
              <w:t xml:space="preserve"> </w:t>
            </w:r>
            <w:r>
              <w:rPr>
                <w:rFonts w:hint="eastAsia" w:ascii="Times New Roman" w:hAnsi="Times New Roman" w:eastAsia="宋体" w:cs="Times New Roman"/>
                <w:b/>
                <w:bCs/>
                <w:color w:val="000000"/>
                <w:kern w:val="2"/>
                <w:sz w:val="24"/>
                <w:szCs w:val="24"/>
                <w:highlight w:val="none"/>
                <w:lang w:val="en-US" w:eastAsia="zh-CN" w:bidi="ar-SA"/>
              </w:rPr>
              <w:t xml:space="preserve"> </w:t>
            </w:r>
            <w:r>
              <w:rPr>
                <w:rFonts w:hint="default" w:ascii="Times New Roman" w:hAnsi="Times New Roman" w:eastAsia="宋体" w:cs="Times New Roman"/>
                <w:b/>
                <w:bCs/>
                <w:color w:val="000000"/>
                <w:kern w:val="2"/>
                <w:sz w:val="24"/>
                <w:szCs w:val="24"/>
                <w:highlight w:val="none"/>
                <w:lang w:val="en-US" w:eastAsia="zh-CN" w:bidi="ar-SA"/>
              </w:rPr>
              <w:t>单位：t/a</w:t>
            </w:r>
          </w:p>
          <w:tbl>
            <w:tblPr>
              <w:tblStyle w:val="25"/>
              <w:tblW w:w="4998" w:type="pct"/>
              <w:jc w:val="center"/>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454"/>
              <w:gridCol w:w="1121"/>
              <w:gridCol w:w="1014"/>
              <w:gridCol w:w="1274"/>
              <w:gridCol w:w="980"/>
              <w:gridCol w:w="933"/>
            </w:tblGrid>
            <w:tr w14:paraId="018E4E82">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restart"/>
                  <w:tcBorders>
                    <w:left w:val="nil"/>
                  </w:tcBorders>
                  <w:noWrap w:val="0"/>
                  <w:vAlign w:val="center"/>
                </w:tcPr>
                <w:p w14:paraId="3307E591">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污染源</w:t>
                  </w:r>
                </w:p>
              </w:tc>
              <w:tc>
                <w:tcPr>
                  <w:tcW w:w="929" w:type="pct"/>
                  <w:vMerge w:val="restart"/>
                  <w:noWrap w:val="0"/>
                  <w:vAlign w:val="center"/>
                </w:tcPr>
                <w:p w14:paraId="68C749C7">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污染物</w:t>
                  </w:r>
                </w:p>
              </w:tc>
              <w:tc>
                <w:tcPr>
                  <w:tcW w:w="716" w:type="pct"/>
                  <w:vMerge w:val="restart"/>
                  <w:noWrap w:val="0"/>
                  <w:vAlign w:val="center"/>
                </w:tcPr>
                <w:p w14:paraId="3AAB0824">
                  <w:pPr>
                    <w:snapToGrid w:val="0"/>
                    <w:jc w:val="center"/>
                    <w:rPr>
                      <w:rFonts w:hint="default" w:ascii="Times New Roman" w:hAnsi="Times New Roman" w:eastAsia="宋体" w:cs="Times New Roman"/>
                      <w:i w:val="0"/>
                      <w:iCs w:val="0"/>
                      <w:color w:val="000000"/>
                      <w:sz w:val="21"/>
                      <w:szCs w:val="21"/>
                      <w:highlight w:val="none"/>
                      <w:u w:val="none"/>
                      <w:lang w:eastAsia="zh-CN"/>
                    </w:rPr>
                  </w:pPr>
                  <w:r>
                    <w:rPr>
                      <w:rFonts w:hint="eastAsia"/>
                      <w:color w:val="000000"/>
                      <w:sz w:val="21"/>
                      <w:szCs w:val="21"/>
                      <w:highlight w:val="none"/>
                      <w:lang w:eastAsia="zh-CN"/>
                    </w:rPr>
                    <w:t>改扩建前排放量</w:t>
                  </w:r>
                </w:p>
              </w:tc>
              <w:tc>
                <w:tcPr>
                  <w:tcW w:w="648" w:type="pct"/>
                  <w:vMerge w:val="restart"/>
                  <w:noWrap w:val="0"/>
                  <w:vAlign w:val="center"/>
                </w:tcPr>
                <w:p w14:paraId="0B5A74B5">
                  <w:pPr>
                    <w:snapToGrid w:val="0"/>
                    <w:jc w:val="center"/>
                    <w:rPr>
                      <w:color w:val="000000"/>
                      <w:highlight w:val="none"/>
                    </w:rPr>
                  </w:pPr>
                  <w:r>
                    <w:rPr>
                      <w:rFonts w:hint="eastAsia"/>
                      <w:color w:val="000000"/>
                      <w:sz w:val="21"/>
                      <w:szCs w:val="21"/>
                      <w:highlight w:val="none"/>
                      <w:lang w:eastAsia="zh-CN"/>
                    </w:rPr>
                    <w:t>本项目排放量</w:t>
                  </w:r>
                </w:p>
              </w:tc>
              <w:tc>
                <w:tcPr>
                  <w:tcW w:w="2037" w:type="pct"/>
                  <w:gridSpan w:val="3"/>
                  <w:tcBorders>
                    <w:right w:val="nil"/>
                  </w:tcBorders>
                  <w:noWrap w:val="0"/>
                  <w:vAlign w:val="center"/>
                </w:tcPr>
                <w:p w14:paraId="035E2528">
                  <w:pPr>
                    <w:snapToGrid w:val="0"/>
                    <w:jc w:val="center"/>
                    <w:rPr>
                      <w:rFonts w:hint="eastAsia"/>
                      <w:color w:val="000000"/>
                      <w:sz w:val="21"/>
                      <w:szCs w:val="21"/>
                      <w:highlight w:val="none"/>
                      <w:lang w:eastAsia="zh-CN"/>
                    </w:rPr>
                  </w:pPr>
                  <w:r>
                    <w:rPr>
                      <w:rFonts w:hint="eastAsia"/>
                      <w:color w:val="000000"/>
                      <w:sz w:val="21"/>
                      <w:szCs w:val="21"/>
                      <w:highlight w:val="none"/>
                      <w:lang w:eastAsia="zh-CN"/>
                    </w:rPr>
                    <w:t>总体工程</w:t>
                  </w:r>
                </w:p>
              </w:tc>
            </w:tr>
            <w:tr w14:paraId="1FE8697D">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4E21C260">
                  <w:pPr>
                    <w:snapToGrid w:val="0"/>
                    <w:jc w:val="center"/>
                    <w:rPr>
                      <w:highlight w:val="none"/>
                    </w:rPr>
                  </w:pPr>
                </w:p>
              </w:tc>
              <w:tc>
                <w:tcPr>
                  <w:tcW w:w="929" w:type="pct"/>
                  <w:vMerge w:val="continue"/>
                  <w:noWrap w:val="0"/>
                  <w:vAlign w:val="center"/>
                </w:tcPr>
                <w:p w14:paraId="13BCD819">
                  <w:pPr>
                    <w:snapToGrid w:val="0"/>
                    <w:jc w:val="center"/>
                    <w:rPr>
                      <w:highlight w:val="none"/>
                    </w:rPr>
                  </w:pPr>
                </w:p>
              </w:tc>
              <w:tc>
                <w:tcPr>
                  <w:tcW w:w="716" w:type="pct"/>
                  <w:vMerge w:val="continue"/>
                  <w:noWrap w:val="0"/>
                  <w:vAlign w:val="center"/>
                </w:tcPr>
                <w:p w14:paraId="5BDBE74B">
                  <w:pPr>
                    <w:snapToGrid w:val="0"/>
                    <w:jc w:val="center"/>
                    <w:rPr>
                      <w:highlight w:val="none"/>
                    </w:rPr>
                  </w:pPr>
                </w:p>
              </w:tc>
              <w:tc>
                <w:tcPr>
                  <w:tcW w:w="648" w:type="pct"/>
                  <w:vMerge w:val="continue"/>
                  <w:noWrap w:val="0"/>
                  <w:vAlign w:val="center"/>
                </w:tcPr>
                <w:p w14:paraId="733E427F">
                  <w:pPr>
                    <w:snapToGrid w:val="0"/>
                    <w:jc w:val="center"/>
                    <w:rPr>
                      <w:highlight w:val="none"/>
                    </w:rPr>
                  </w:pPr>
                </w:p>
              </w:tc>
              <w:tc>
                <w:tcPr>
                  <w:tcW w:w="814" w:type="pct"/>
                  <w:tcBorders>
                    <w:right w:val="nil"/>
                  </w:tcBorders>
                  <w:noWrap w:val="0"/>
                  <w:vAlign w:val="center"/>
                </w:tcPr>
                <w:p w14:paraId="6AF05B93">
                  <w:pPr>
                    <w:snapToGrid w:val="0"/>
                    <w:jc w:val="center"/>
                    <w:rPr>
                      <w:rFonts w:hint="eastAsia"/>
                      <w:color w:val="000000"/>
                      <w:sz w:val="21"/>
                      <w:szCs w:val="21"/>
                      <w:highlight w:val="none"/>
                      <w:lang w:eastAsia="zh-CN"/>
                    </w:rPr>
                  </w:pPr>
                  <w:r>
                    <w:rPr>
                      <w:rFonts w:hint="eastAsia"/>
                      <w:color w:val="000000"/>
                      <w:sz w:val="21"/>
                      <w:szCs w:val="21"/>
                      <w:highlight w:val="none"/>
                      <w:lang w:eastAsia="zh-CN"/>
                    </w:rPr>
                    <w:t>“以新带老”削减量</w:t>
                  </w:r>
                </w:p>
              </w:tc>
              <w:tc>
                <w:tcPr>
                  <w:tcW w:w="626" w:type="pct"/>
                  <w:tcBorders>
                    <w:right w:val="nil"/>
                  </w:tcBorders>
                  <w:noWrap w:val="0"/>
                  <w:vAlign w:val="center"/>
                </w:tcPr>
                <w:p w14:paraId="5425D99A">
                  <w:pPr>
                    <w:snapToGrid w:val="0"/>
                    <w:jc w:val="center"/>
                    <w:rPr>
                      <w:rFonts w:hint="eastAsia"/>
                      <w:color w:val="000000"/>
                      <w:sz w:val="21"/>
                      <w:szCs w:val="21"/>
                      <w:highlight w:val="none"/>
                      <w:lang w:eastAsia="zh-CN"/>
                    </w:rPr>
                  </w:pPr>
                  <w:r>
                    <w:rPr>
                      <w:rFonts w:hint="eastAsia"/>
                      <w:color w:val="000000"/>
                      <w:sz w:val="21"/>
                      <w:szCs w:val="21"/>
                      <w:highlight w:val="none"/>
                      <w:lang w:eastAsia="zh-CN"/>
                    </w:rPr>
                    <w:t>总排放量</w:t>
                  </w:r>
                </w:p>
              </w:tc>
              <w:tc>
                <w:tcPr>
                  <w:tcW w:w="596" w:type="pct"/>
                  <w:tcBorders>
                    <w:right w:val="nil"/>
                  </w:tcBorders>
                  <w:noWrap w:val="0"/>
                  <w:vAlign w:val="center"/>
                </w:tcPr>
                <w:p w14:paraId="17C23E40">
                  <w:pPr>
                    <w:snapToGrid w:val="0"/>
                    <w:jc w:val="center"/>
                    <w:rPr>
                      <w:rFonts w:hint="eastAsia"/>
                      <w:color w:val="000000"/>
                      <w:sz w:val="21"/>
                      <w:szCs w:val="21"/>
                      <w:highlight w:val="none"/>
                      <w:lang w:eastAsia="zh-CN"/>
                    </w:rPr>
                  </w:pPr>
                  <w:r>
                    <w:rPr>
                      <w:rFonts w:hint="eastAsia"/>
                      <w:color w:val="000000"/>
                      <w:sz w:val="21"/>
                      <w:szCs w:val="21"/>
                      <w:highlight w:val="none"/>
                      <w:lang w:eastAsia="zh-CN"/>
                    </w:rPr>
                    <w:t>增减量</w:t>
                  </w:r>
                </w:p>
              </w:tc>
            </w:tr>
            <w:tr w14:paraId="1A49B096">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restart"/>
                  <w:tcBorders>
                    <w:left w:val="nil"/>
                  </w:tcBorders>
                  <w:noWrap w:val="0"/>
                  <w:vAlign w:val="center"/>
                </w:tcPr>
                <w:p w14:paraId="3ECA16F4">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综合废</w:t>
                  </w:r>
                  <w:r>
                    <w:rPr>
                      <w:rFonts w:hint="eastAsia" w:ascii="Times New Roman" w:hAnsi="Times New Roman" w:eastAsia="宋体" w:cs="Times New Roman"/>
                      <w:bCs/>
                      <w:i w:val="0"/>
                      <w:iCs w:val="0"/>
                      <w:color w:val="000000"/>
                      <w:kern w:val="0"/>
                      <w:sz w:val="21"/>
                      <w:szCs w:val="21"/>
                      <w:highlight w:val="none"/>
                      <w:u w:val="none"/>
                      <w:lang w:val="en-US" w:eastAsia="zh-CN" w:bidi="ar"/>
                    </w:rPr>
                    <w:t>水</w:t>
                  </w:r>
                </w:p>
              </w:tc>
              <w:tc>
                <w:tcPr>
                  <w:tcW w:w="929" w:type="pct"/>
                  <w:noWrap w:val="0"/>
                  <w:vAlign w:val="center"/>
                </w:tcPr>
                <w:p w14:paraId="17BA71D5">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废水量</w:t>
                  </w:r>
                </w:p>
              </w:tc>
              <w:tc>
                <w:tcPr>
                  <w:tcW w:w="716" w:type="pct"/>
                  <w:noWrap w:val="0"/>
                  <w:vAlign w:val="center"/>
                </w:tcPr>
                <w:p w14:paraId="7DD6051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val="0"/>
                      <w:color w:val="000000"/>
                      <w:kern w:val="2"/>
                      <w:sz w:val="21"/>
                      <w:szCs w:val="21"/>
                      <w:highlight w:val="none"/>
                      <w:vertAlign w:val="baseline"/>
                      <w:lang w:val="en-US" w:eastAsia="zh-CN" w:bidi="ar-SA"/>
                    </w:rPr>
                    <w:t>2970</w:t>
                  </w:r>
                </w:p>
              </w:tc>
              <w:tc>
                <w:tcPr>
                  <w:tcW w:w="648" w:type="pct"/>
                  <w:noWrap w:val="0"/>
                  <w:vAlign w:val="center"/>
                </w:tcPr>
                <w:p w14:paraId="1E46A11B">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2970</w:t>
                  </w:r>
                </w:p>
              </w:tc>
              <w:tc>
                <w:tcPr>
                  <w:tcW w:w="814" w:type="pct"/>
                  <w:noWrap w:val="0"/>
                  <w:vAlign w:val="center"/>
                </w:tcPr>
                <w:p w14:paraId="0F9F6062">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p>
              </w:tc>
              <w:tc>
                <w:tcPr>
                  <w:tcW w:w="626" w:type="pct"/>
                  <w:noWrap w:val="0"/>
                  <w:vAlign w:val="center"/>
                </w:tcPr>
                <w:p w14:paraId="1E29E282">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val="0"/>
                      <w:color w:val="000000"/>
                      <w:kern w:val="2"/>
                      <w:sz w:val="21"/>
                      <w:szCs w:val="21"/>
                      <w:highlight w:val="none"/>
                      <w:vertAlign w:val="baseline"/>
                      <w:lang w:val="en-US" w:eastAsia="zh-CN" w:bidi="ar-SA"/>
                    </w:rPr>
                    <w:t>2970</w:t>
                  </w:r>
                </w:p>
              </w:tc>
              <w:tc>
                <w:tcPr>
                  <w:tcW w:w="596" w:type="pct"/>
                  <w:noWrap w:val="0"/>
                  <w:vAlign w:val="center"/>
                </w:tcPr>
                <w:p w14:paraId="162FB4A2">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w:t>
                  </w:r>
                </w:p>
              </w:tc>
            </w:tr>
            <w:tr w14:paraId="7D387800">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2658C1CB">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p>
              </w:tc>
              <w:tc>
                <w:tcPr>
                  <w:tcW w:w="929" w:type="pct"/>
                  <w:noWrap w:val="0"/>
                  <w:vAlign w:val="center"/>
                </w:tcPr>
                <w:p w14:paraId="50389652">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p>
              </w:tc>
              <w:tc>
                <w:tcPr>
                  <w:tcW w:w="716" w:type="pct"/>
                  <w:noWrap w:val="0"/>
                  <w:vAlign w:val="center"/>
                </w:tcPr>
                <w:p w14:paraId="406D9F5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val="0"/>
                      <w:color w:val="000000"/>
                      <w:kern w:val="2"/>
                      <w:sz w:val="21"/>
                      <w:szCs w:val="21"/>
                      <w:highlight w:val="none"/>
                      <w:vertAlign w:val="baseline"/>
                      <w:lang w:val="en-US" w:eastAsia="zh-CN" w:bidi="ar-SA"/>
                    </w:rPr>
                    <w:t>0.178</w:t>
                  </w:r>
                </w:p>
              </w:tc>
              <w:tc>
                <w:tcPr>
                  <w:tcW w:w="648" w:type="pct"/>
                  <w:noWrap w:val="0"/>
                  <w:vAlign w:val="center"/>
                </w:tcPr>
                <w:p w14:paraId="4E331213">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0.149</w:t>
                  </w:r>
                </w:p>
              </w:tc>
              <w:tc>
                <w:tcPr>
                  <w:tcW w:w="1274" w:type="dxa"/>
                  <w:noWrap w:val="0"/>
                  <w:vAlign w:val="center"/>
                </w:tcPr>
                <w:p w14:paraId="274A939B">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29</w:t>
                  </w:r>
                </w:p>
              </w:tc>
              <w:tc>
                <w:tcPr>
                  <w:tcW w:w="626" w:type="pct"/>
                  <w:noWrap w:val="0"/>
                  <w:vAlign w:val="center"/>
                </w:tcPr>
                <w:p w14:paraId="2AEB166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0.149</w:t>
                  </w:r>
                </w:p>
              </w:tc>
              <w:tc>
                <w:tcPr>
                  <w:tcW w:w="596" w:type="pct"/>
                  <w:noWrap w:val="0"/>
                  <w:vAlign w:val="center"/>
                </w:tcPr>
                <w:p w14:paraId="0FD6581C">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29</w:t>
                  </w:r>
                </w:p>
              </w:tc>
            </w:tr>
            <w:tr w14:paraId="71EC9C9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6EDBCB80">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p>
              </w:tc>
              <w:tc>
                <w:tcPr>
                  <w:tcW w:w="929" w:type="pct"/>
                  <w:noWrap w:val="0"/>
                  <w:vAlign w:val="center"/>
                </w:tcPr>
                <w:p w14:paraId="545D2208">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716" w:type="pct"/>
                  <w:noWrap w:val="0"/>
                  <w:vAlign w:val="center"/>
                </w:tcPr>
                <w:p w14:paraId="6965279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superscript"/>
                      <w:lang w:val="en-US" w:eastAsia="zh-CN" w:bidi="ar-SA"/>
                    </w:rPr>
                  </w:pPr>
                  <w:r>
                    <w:rPr>
                      <w:rFonts w:hint="eastAsia" w:cs="Times New Roman"/>
                      <w:b w:val="0"/>
                      <w:bCs w:val="0"/>
                      <w:color w:val="000000"/>
                      <w:kern w:val="2"/>
                      <w:sz w:val="21"/>
                      <w:szCs w:val="21"/>
                      <w:highlight w:val="none"/>
                      <w:vertAlign w:val="baseline"/>
                      <w:lang w:val="en-US" w:eastAsia="zh-CN" w:bidi="ar-SA"/>
                    </w:rPr>
                    <w:t>0.059</w:t>
                  </w:r>
                </w:p>
              </w:tc>
              <w:tc>
                <w:tcPr>
                  <w:tcW w:w="648" w:type="pct"/>
                  <w:noWrap w:val="0"/>
                  <w:vAlign w:val="center"/>
                </w:tcPr>
                <w:p w14:paraId="01879C4B">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w:t>
                  </w:r>
                  <w:r>
                    <w:rPr>
                      <w:rFonts w:hint="eastAsia" w:cs="Times New Roman"/>
                      <w:color w:val="auto"/>
                      <w:kern w:val="2"/>
                      <w:sz w:val="21"/>
                      <w:szCs w:val="21"/>
                      <w:highlight w:val="none"/>
                      <w:vertAlign w:val="baseline"/>
                      <w:lang w:val="en-US" w:eastAsia="zh-CN" w:bidi="ar-SA"/>
                    </w:rPr>
                    <w:t>30</w:t>
                  </w:r>
                </w:p>
              </w:tc>
              <w:tc>
                <w:tcPr>
                  <w:tcW w:w="1274" w:type="dxa"/>
                  <w:noWrap w:val="0"/>
                  <w:vAlign w:val="center"/>
                </w:tcPr>
                <w:p w14:paraId="29E3E2EC">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0.02</w:t>
                  </w:r>
                  <w:r>
                    <w:rPr>
                      <w:rFonts w:hint="eastAsia" w:cs="Times New Roman"/>
                      <w:bCs/>
                      <w:i w:val="0"/>
                      <w:iCs w:val="0"/>
                      <w:color w:val="000000"/>
                      <w:kern w:val="0"/>
                      <w:sz w:val="21"/>
                      <w:szCs w:val="21"/>
                      <w:highlight w:val="none"/>
                      <w:u w:val="none"/>
                      <w:lang w:val="en-US" w:eastAsia="zh-CN" w:bidi="ar"/>
                    </w:rPr>
                    <w:t>9</w:t>
                  </w:r>
                </w:p>
              </w:tc>
              <w:tc>
                <w:tcPr>
                  <w:tcW w:w="626" w:type="pct"/>
                  <w:noWrap w:val="0"/>
                  <w:vAlign w:val="center"/>
                </w:tcPr>
                <w:p w14:paraId="55A13868">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30</w:t>
                  </w:r>
                </w:p>
              </w:tc>
              <w:tc>
                <w:tcPr>
                  <w:tcW w:w="596" w:type="pct"/>
                  <w:noWrap w:val="0"/>
                  <w:vAlign w:val="center"/>
                </w:tcPr>
                <w:p w14:paraId="5C71F85B">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-0.02</w:t>
                  </w:r>
                  <w:r>
                    <w:rPr>
                      <w:rFonts w:hint="eastAsia" w:cs="Times New Roman"/>
                      <w:bCs/>
                      <w:i w:val="0"/>
                      <w:iCs w:val="0"/>
                      <w:color w:val="000000"/>
                      <w:kern w:val="0"/>
                      <w:sz w:val="21"/>
                      <w:szCs w:val="21"/>
                      <w:highlight w:val="none"/>
                      <w:u w:val="none"/>
                      <w:lang w:val="en-US" w:eastAsia="zh-CN" w:bidi="ar"/>
                    </w:rPr>
                    <w:t>9</w:t>
                  </w:r>
                </w:p>
              </w:tc>
            </w:tr>
            <w:tr w14:paraId="53020B55">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5FB8361E">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p>
              </w:tc>
              <w:tc>
                <w:tcPr>
                  <w:tcW w:w="929" w:type="pct"/>
                  <w:noWrap w:val="0"/>
                  <w:vAlign w:val="center"/>
                </w:tcPr>
                <w:p w14:paraId="002A0099">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SS</w:t>
                  </w:r>
                </w:p>
              </w:tc>
              <w:tc>
                <w:tcPr>
                  <w:tcW w:w="716" w:type="pct"/>
                  <w:noWrap w:val="0"/>
                  <w:vAlign w:val="center"/>
                </w:tcPr>
                <w:p w14:paraId="2E516C78">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vertAlign w:val="superscript"/>
                      <w:lang w:val="en-US" w:eastAsia="zh-CN" w:bidi="ar"/>
                    </w:rPr>
                  </w:pPr>
                  <w:r>
                    <w:rPr>
                      <w:rFonts w:hint="eastAsia" w:cs="Times New Roman"/>
                      <w:bCs/>
                      <w:i w:val="0"/>
                      <w:iCs w:val="0"/>
                      <w:color w:val="000000"/>
                      <w:kern w:val="0"/>
                      <w:sz w:val="21"/>
                      <w:szCs w:val="21"/>
                      <w:highlight w:val="none"/>
                      <w:u w:val="none"/>
                      <w:lang w:val="en-US" w:eastAsia="zh-CN" w:bidi="ar"/>
                    </w:rPr>
                    <w:t>0.059</w:t>
                  </w:r>
                </w:p>
              </w:tc>
              <w:tc>
                <w:tcPr>
                  <w:tcW w:w="648" w:type="pct"/>
                  <w:noWrap w:val="0"/>
                  <w:vAlign w:val="center"/>
                </w:tcPr>
                <w:p w14:paraId="26829C7C">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w:t>
                  </w:r>
                  <w:r>
                    <w:rPr>
                      <w:rFonts w:hint="eastAsia" w:cs="Times New Roman"/>
                      <w:color w:val="auto"/>
                      <w:kern w:val="2"/>
                      <w:sz w:val="21"/>
                      <w:szCs w:val="21"/>
                      <w:highlight w:val="none"/>
                      <w:vertAlign w:val="baseline"/>
                      <w:lang w:val="en-US" w:eastAsia="zh-CN" w:bidi="ar-SA"/>
                    </w:rPr>
                    <w:t>30</w:t>
                  </w:r>
                </w:p>
              </w:tc>
              <w:tc>
                <w:tcPr>
                  <w:tcW w:w="1274" w:type="dxa"/>
                  <w:noWrap w:val="0"/>
                  <w:vAlign w:val="center"/>
                </w:tcPr>
                <w:p w14:paraId="590CF993">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29</w:t>
                  </w:r>
                </w:p>
              </w:tc>
              <w:tc>
                <w:tcPr>
                  <w:tcW w:w="626" w:type="pct"/>
                  <w:noWrap w:val="0"/>
                  <w:vAlign w:val="center"/>
                </w:tcPr>
                <w:p w14:paraId="20BBD526">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30</w:t>
                  </w:r>
                </w:p>
              </w:tc>
              <w:tc>
                <w:tcPr>
                  <w:tcW w:w="596" w:type="pct"/>
                  <w:noWrap w:val="0"/>
                  <w:vAlign w:val="center"/>
                </w:tcPr>
                <w:p w14:paraId="70D79A9A">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29</w:t>
                  </w:r>
                </w:p>
              </w:tc>
            </w:tr>
            <w:tr w14:paraId="7061EBCD">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5891DBEF">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p>
              </w:tc>
              <w:tc>
                <w:tcPr>
                  <w:tcW w:w="929" w:type="pct"/>
                  <w:noWrap w:val="0"/>
                  <w:vAlign w:val="center"/>
                </w:tcPr>
                <w:p w14:paraId="440F5CB9">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baseline"/>
                      <w:lang w:val="en-US" w:eastAsia="zh-CN"/>
                    </w:rPr>
                    <w:t>-N</w:t>
                  </w:r>
                </w:p>
              </w:tc>
              <w:tc>
                <w:tcPr>
                  <w:tcW w:w="716" w:type="pct"/>
                  <w:noWrap w:val="0"/>
                  <w:vAlign w:val="center"/>
                </w:tcPr>
                <w:p w14:paraId="4B1968BD">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0.024</w:t>
                  </w:r>
                </w:p>
              </w:tc>
              <w:tc>
                <w:tcPr>
                  <w:tcW w:w="648" w:type="pct"/>
                  <w:noWrap w:val="0"/>
                  <w:vAlign w:val="center"/>
                </w:tcPr>
                <w:p w14:paraId="64182D58">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w:t>
                  </w:r>
                  <w:r>
                    <w:rPr>
                      <w:rFonts w:hint="eastAsia" w:cs="Times New Roman"/>
                      <w:color w:val="auto"/>
                      <w:kern w:val="2"/>
                      <w:sz w:val="21"/>
                      <w:szCs w:val="21"/>
                      <w:highlight w:val="none"/>
                      <w:vertAlign w:val="baseline"/>
                      <w:lang w:val="en-US" w:eastAsia="zh-CN" w:bidi="ar-SA"/>
                    </w:rPr>
                    <w:t>15</w:t>
                  </w:r>
                </w:p>
              </w:tc>
              <w:tc>
                <w:tcPr>
                  <w:tcW w:w="1274" w:type="dxa"/>
                  <w:noWrap w:val="0"/>
                  <w:vAlign w:val="center"/>
                </w:tcPr>
                <w:p w14:paraId="295FB0EC">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w:t>
                  </w:r>
                  <w:r>
                    <w:rPr>
                      <w:rFonts w:hint="eastAsia" w:cs="Times New Roman"/>
                      <w:bCs/>
                      <w:i w:val="0"/>
                      <w:iCs w:val="0"/>
                      <w:color w:val="000000"/>
                      <w:kern w:val="0"/>
                      <w:sz w:val="21"/>
                      <w:szCs w:val="21"/>
                      <w:highlight w:val="none"/>
                      <w:u w:val="none"/>
                      <w:lang w:val="en-US" w:eastAsia="zh-CN" w:bidi="ar"/>
                    </w:rPr>
                    <w:t>009</w:t>
                  </w:r>
                </w:p>
              </w:tc>
              <w:tc>
                <w:tcPr>
                  <w:tcW w:w="626" w:type="pct"/>
                  <w:noWrap w:val="0"/>
                  <w:vAlign w:val="center"/>
                </w:tcPr>
                <w:p w14:paraId="1952557B">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15</w:t>
                  </w:r>
                </w:p>
              </w:tc>
              <w:tc>
                <w:tcPr>
                  <w:tcW w:w="596" w:type="pct"/>
                  <w:noWrap w:val="0"/>
                  <w:vAlign w:val="center"/>
                </w:tcPr>
                <w:p w14:paraId="3FA0A8B3">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w:t>
                  </w:r>
                  <w:r>
                    <w:rPr>
                      <w:rFonts w:hint="eastAsia" w:cs="Times New Roman"/>
                      <w:bCs/>
                      <w:i w:val="0"/>
                      <w:iCs w:val="0"/>
                      <w:color w:val="000000"/>
                      <w:kern w:val="0"/>
                      <w:sz w:val="21"/>
                      <w:szCs w:val="21"/>
                      <w:highlight w:val="none"/>
                      <w:u w:val="none"/>
                      <w:lang w:val="en-US" w:eastAsia="zh-CN" w:bidi="ar"/>
                    </w:rPr>
                    <w:t>009</w:t>
                  </w:r>
                </w:p>
              </w:tc>
            </w:tr>
            <w:tr w14:paraId="5E1ED476">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restart"/>
                  <w:tcBorders>
                    <w:left w:val="nil"/>
                  </w:tcBorders>
                  <w:noWrap w:val="0"/>
                  <w:vAlign w:val="center"/>
                </w:tcPr>
                <w:p w14:paraId="48EDA0EB">
                  <w:pPr>
                    <w:keepNext w:val="0"/>
                    <w:keepLines w:val="0"/>
                    <w:widowControl/>
                    <w:suppressLineNumbers w:val="0"/>
                    <w:jc w:val="center"/>
                    <w:textAlignment w:val="center"/>
                    <w:rPr>
                      <w:rFonts w:hint="default" w:ascii="Times New Roman" w:hAnsi="Times New Roman" w:eastAsia="宋体" w:cs="Times New Roman"/>
                      <w:bCs/>
                      <w:i w:val="0"/>
                      <w:iCs w:val="0"/>
                      <w:color w:val="000000"/>
                      <w:kern w:val="2"/>
                      <w:sz w:val="21"/>
                      <w:szCs w:val="21"/>
                      <w:highlight w:val="none"/>
                      <w:u w:val="none"/>
                      <w:lang w:val="en-US" w:eastAsia="zh-CN" w:bidi="ar-SA"/>
                    </w:rPr>
                  </w:pPr>
                  <w:r>
                    <w:rPr>
                      <w:rFonts w:hint="eastAsia" w:ascii="Times New Roman" w:hAnsi="Times New Roman" w:eastAsia="宋体" w:cs="Times New Roman"/>
                      <w:bCs/>
                      <w:i w:val="0"/>
                      <w:iCs w:val="0"/>
                      <w:color w:val="000000"/>
                      <w:kern w:val="2"/>
                      <w:sz w:val="21"/>
                      <w:szCs w:val="21"/>
                      <w:highlight w:val="none"/>
                      <w:u w:val="none"/>
                      <w:lang w:val="en-US" w:eastAsia="zh-CN" w:bidi="ar-SA"/>
                    </w:rPr>
                    <w:t>废气</w:t>
                  </w:r>
                </w:p>
              </w:tc>
              <w:tc>
                <w:tcPr>
                  <w:tcW w:w="929" w:type="pct"/>
                  <w:noWrap w:val="0"/>
                  <w:vAlign w:val="center"/>
                </w:tcPr>
                <w:p w14:paraId="1017501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subscript"/>
                      <w:lang w:val="en-US" w:eastAsia="zh-CN" w:bidi="ar-SA"/>
                    </w:rPr>
                  </w:pPr>
                  <w:r>
                    <w:rPr>
                      <w:rFonts w:hint="eastAsia" w:ascii="Times New Roman" w:hAnsi="Times New Roman" w:eastAsia="宋体" w:cs="Times New Roman"/>
                      <w:color w:val="000000"/>
                      <w:sz w:val="21"/>
                      <w:szCs w:val="21"/>
                      <w:highlight w:val="none"/>
                      <w:lang w:val="en-US" w:eastAsia="zh-CN"/>
                    </w:rPr>
                    <w:t>非甲烷总烃</w:t>
                  </w:r>
                </w:p>
              </w:tc>
              <w:tc>
                <w:tcPr>
                  <w:tcW w:w="716" w:type="pct"/>
                  <w:noWrap w:val="0"/>
                  <w:vAlign w:val="center"/>
                </w:tcPr>
                <w:p w14:paraId="5651278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rPr>
                    <w:t>未分析</w:t>
                  </w:r>
                </w:p>
              </w:tc>
              <w:tc>
                <w:tcPr>
                  <w:tcW w:w="648" w:type="pct"/>
                  <w:noWrap w:val="0"/>
                  <w:vAlign w:val="center"/>
                </w:tcPr>
                <w:p w14:paraId="76851DCD">
                  <w:pPr>
                    <w:keepNext w:val="0"/>
                    <w:keepLines w:val="0"/>
                    <w:widowControl/>
                    <w:suppressLineNumbers w:val="0"/>
                    <w:jc w:val="center"/>
                    <w:textAlignment w:val="center"/>
                    <w:rPr>
                      <w:rFonts w:hint="default" w:ascii="Times New Roman" w:hAnsi="Times New Roman" w:eastAsia="宋体" w:cs="Times New Roman"/>
                      <w:bCs/>
                      <w:i w:val="0"/>
                      <w:iCs w:val="0"/>
                      <w:color w:val="000000"/>
                      <w:kern w:val="2"/>
                      <w:sz w:val="21"/>
                      <w:szCs w:val="21"/>
                      <w:highlight w:val="none"/>
                      <w:u w:val="none"/>
                      <w:lang w:val="en-US" w:eastAsia="zh-CN" w:bidi="ar-SA"/>
                    </w:rPr>
                  </w:pPr>
                  <w:r>
                    <w:rPr>
                      <w:rFonts w:hint="eastAsia" w:ascii="Times New Roman" w:hAnsi="Times New Roman" w:eastAsia="宋体" w:cs="Times New Roman"/>
                      <w:bCs/>
                      <w:i w:val="0"/>
                      <w:iCs w:val="0"/>
                      <w:color w:val="000000"/>
                      <w:kern w:val="2"/>
                      <w:sz w:val="21"/>
                      <w:szCs w:val="21"/>
                      <w:highlight w:val="none"/>
                      <w:u w:val="none"/>
                      <w:lang w:val="en-US" w:eastAsia="zh-CN" w:bidi="ar-SA"/>
                    </w:rPr>
                    <w:t>0.2</w:t>
                  </w:r>
                  <w:r>
                    <w:rPr>
                      <w:rFonts w:hint="eastAsia" w:cs="Times New Roman"/>
                      <w:bCs/>
                      <w:i w:val="0"/>
                      <w:iCs w:val="0"/>
                      <w:color w:val="000000"/>
                      <w:kern w:val="2"/>
                      <w:sz w:val="21"/>
                      <w:szCs w:val="21"/>
                      <w:highlight w:val="none"/>
                      <w:u w:val="none"/>
                      <w:lang w:val="en-US" w:eastAsia="zh-CN" w:bidi="ar-SA"/>
                    </w:rPr>
                    <w:t>905</w:t>
                  </w:r>
                </w:p>
              </w:tc>
              <w:tc>
                <w:tcPr>
                  <w:tcW w:w="814" w:type="pct"/>
                  <w:noWrap w:val="0"/>
                  <w:vAlign w:val="center"/>
                </w:tcPr>
                <w:p w14:paraId="645684D0">
                  <w:pPr>
                    <w:keepNext w:val="0"/>
                    <w:keepLines w:val="0"/>
                    <w:widowControl/>
                    <w:suppressLineNumbers w:val="0"/>
                    <w:jc w:val="center"/>
                    <w:textAlignment w:val="center"/>
                    <w:rPr>
                      <w:rFonts w:hint="default" w:ascii="Times New Roman" w:hAnsi="Times New Roman" w:eastAsia="宋体" w:cs="Times New Roman"/>
                      <w:bCs/>
                      <w:i w:val="0"/>
                      <w:iCs w:val="0"/>
                      <w:color w:val="000000"/>
                      <w:kern w:val="2"/>
                      <w:sz w:val="21"/>
                      <w:szCs w:val="21"/>
                      <w:highlight w:val="none"/>
                      <w:u w:val="none"/>
                      <w:lang w:val="en-US" w:eastAsia="zh-CN" w:bidi="ar-SA"/>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p>
              </w:tc>
              <w:tc>
                <w:tcPr>
                  <w:tcW w:w="626" w:type="pct"/>
                  <w:noWrap w:val="0"/>
                  <w:vAlign w:val="center"/>
                </w:tcPr>
                <w:p w14:paraId="68E7BD82">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0.2</w:t>
                  </w:r>
                  <w:r>
                    <w:rPr>
                      <w:rFonts w:hint="eastAsia" w:cs="Times New Roman"/>
                      <w:bCs/>
                      <w:i w:val="0"/>
                      <w:iCs w:val="0"/>
                      <w:color w:val="000000"/>
                      <w:kern w:val="0"/>
                      <w:sz w:val="21"/>
                      <w:szCs w:val="21"/>
                      <w:highlight w:val="none"/>
                      <w:u w:val="none"/>
                      <w:lang w:val="en-US" w:eastAsia="zh-CN" w:bidi="ar"/>
                    </w:rPr>
                    <w:t>905</w:t>
                  </w:r>
                </w:p>
              </w:tc>
              <w:tc>
                <w:tcPr>
                  <w:tcW w:w="596" w:type="pct"/>
                  <w:noWrap w:val="0"/>
                  <w:vAlign w:val="center"/>
                </w:tcPr>
                <w:p w14:paraId="545E4C93">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2"/>
                      <w:sz w:val="21"/>
                      <w:szCs w:val="21"/>
                      <w:highlight w:val="none"/>
                      <w:u w:val="none"/>
                      <w:lang w:val="en-US" w:eastAsia="zh-CN" w:bidi="ar-SA"/>
                    </w:rPr>
                    <w:t>+0.2</w:t>
                  </w:r>
                  <w:r>
                    <w:rPr>
                      <w:rFonts w:hint="eastAsia" w:cs="Times New Roman"/>
                      <w:bCs/>
                      <w:i w:val="0"/>
                      <w:iCs w:val="0"/>
                      <w:color w:val="000000"/>
                      <w:kern w:val="2"/>
                      <w:sz w:val="21"/>
                      <w:szCs w:val="21"/>
                      <w:highlight w:val="none"/>
                      <w:u w:val="none"/>
                      <w:lang w:val="en-US" w:eastAsia="zh-CN" w:bidi="ar-SA"/>
                    </w:rPr>
                    <w:t>905</w:t>
                  </w:r>
                </w:p>
              </w:tc>
            </w:tr>
            <w:tr w14:paraId="6482EE48">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677DD96F">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2"/>
                      <w:sz w:val="21"/>
                      <w:szCs w:val="21"/>
                      <w:highlight w:val="none"/>
                      <w:u w:val="none"/>
                      <w:lang w:val="en-US" w:eastAsia="zh-CN" w:bidi="ar-SA"/>
                    </w:rPr>
                  </w:pPr>
                </w:p>
              </w:tc>
              <w:tc>
                <w:tcPr>
                  <w:tcW w:w="929" w:type="pct"/>
                  <w:noWrap w:val="0"/>
                  <w:vAlign w:val="center"/>
                </w:tcPr>
                <w:p w14:paraId="76D8208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二氧化硫</w:t>
                  </w:r>
                </w:p>
              </w:tc>
              <w:tc>
                <w:tcPr>
                  <w:tcW w:w="716" w:type="pct"/>
                  <w:noWrap w:val="0"/>
                  <w:vAlign w:val="center"/>
                </w:tcPr>
                <w:p w14:paraId="08A64AD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未分析</w:t>
                  </w:r>
                </w:p>
              </w:tc>
              <w:tc>
                <w:tcPr>
                  <w:tcW w:w="648" w:type="pct"/>
                  <w:noWrap w:val="0"/>
                  <w:vAlign w:val="center"/>
                </w:tcPr>
                <w:p w14:paraId="56CDA7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i w:val="0"/>
                      <w:iCs w:val="0"/>
                      <w:color w:val="000000"/>
                      <w:kern w:val="2"/>
                      <w:sz w:val="21"/>
                      <w:szCs w:val="21"/>
                      <w:highlight w:val="none"/>
                      <w:u w:val="none"/>
                      <w:lang w:val="en-US" w:eastAsia="zh-CN" w:bidi="ar-SA"/>
                    </w:rPr>
                  </w:pPr>
                  <w:r>
                    <w:rPr>
                      <w:rFonts w:hint="eastAsia" w:cs="Times New Roman"/>
                      <w:b w:val="0"/>
                      <w:bCs/>
                      <w:color w:val="auto"/>
                      <w:sz w:val="21"/>
                      <w:szCs w:val="21"/>
                      <w:highlight w:val="none"/>
                      <w:vertAlign w:val="baseline"/>
                      <w:lang w:val="en-US" w:eastAsia="zh-CN"/>
                    </w:rPr>
                    <w:t>0.011</w:t>
                  </w:r>
                </w:p>
              </w:tc>
              <w:tc>
                <w:tcPr>
                  <w:tcW w:w="814" w:type="pct"/>
                  <w:noWrap w:val="0"/>
                  <w:vAlign w:val="center"/>
                </w:tcPr>
                <w:p w14:paraId="475914AB">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w:t>
                  </w:r>
                </w:p>
              </w:tc>
              <w:tc>
                <w:tcPr>
                  <w:tcW w:w="626" w:type="pct"/>
                  <w:noWrap w:val="0"/>
                  <w:vAlign w:val="center"/>
                </w:tcPr>
                <w:p w14:paraId="07F663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 w:val="0"/>
                      <w:bCs/>
                      <w:color w:val="auto"/>
                      <w:sz w:val="21"/>
                      <w:szCs w:val="21"/>
                      <w:highlight w:val="none"/>
                      <w:vertAlign w:val="baseline"/>
                      <w:lang w:val="en-US" w:eastAsia="zh-CN"/>
                    </w:rPr>
                    <w:t>0.011</w:t>
                  </w:r>
                </w:p>
              </w:tc>
              <w:tc>
                <w:tcPr>
                  <w:tcW w:w="596" w:type="pct"/>
                  <w:noWrap w:val="0"/>
                  <w:vAlign w:val="center"/>
                </w:tcPr>
                <w:p w14:paraId="17EAC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i w:val="0"/>
                      <w:iCs w:val="0"/>
                      <w:color w:val="000000"/>
                      <w:kern w:val="2"/>
                      <w:sz w:val="21"/>
                      <w:szCs w:val="21"/>
                      <w:highlight w:val="none"/>
                      <w:u w:val="none"/>
                      <w:lang w:val="en-US" w:eastAsia="zh-CN" w:bidi="ar-SA"/>
                    </w:rPr>
                  </w:pPr>
                  <w:r>
                    <w:rPr>
                      <w:rFonts w:hint="eastAsia" w:cs="Times New Roman"/>
                      <w:b w:val="0"/>
                      <w:bCs/>
                      <w:color w:val="auto"/>
                      <w:sz w:val="21"/>
                      <w:szCs w:val="21"/>
                      <w:highlight w:val="none"/>
                      <w:vertAlign w:val="baseline"/>
                      <w:lang w:val="en-US" w:eastAsia="zh-CN"/>
                    </w:rPr>
                    <w:t>+0.011</w:t>
                  </w:r>
                </w:p>
              </w:tc>
            </w:tr>
            <w:tr w14:paraId="316B8C75">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57D77C02">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2"/>
                      <w:sz w:val="21"/>
                      <w:szCs w:val="21"/>
                      <w:highlight w:val="none"/>
                      <w:u w:val="none"/>
                      <w:lang w:val="en-US" w:eastAsia="zh-CN" w:bidi="ar-SA"/>
                    </w:rPr>
                  </w:pPr>
                </w:p>
              </w:tc>
              <w:tc>
                <w:tcPr>
                  <w:tcW w:w="929" w:type="pct"/>
                  <w:noWrap w:val="0"/>
                  <w:vAlign w:val="center"/>
                </w:tcPr>
                <w:p w14:paraId="6315EA4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氮氧化物</w:t>
                  </w:r>
                </w:p>
              </w:tc>
              <w:tc>
                <w:tcPr>
                  <w:tcW w:w="716" w:type="pct"/>
                  <w:noWrap w:val="0"/>
                  <w:vAlign w:val="center"/>
                </w:tcPr>
                <w:p w14:paraId="118946C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未分析</w:t>
                  </w:r>
                </w:p>
              </w:tc>
              <w:tc>
                <w:tcPr>
                  <w:tcW w:w="648" w:type="pct"/>
                  <w:noWrap w:val="0"/>
                  <w:vAlign w:val="center"/>
                </w:tcPr>
                <w:p w14:paraId="2FB86C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i w:val="0"/>
                      <w:iCs w:val="0"/>
                      <w:color w:val="000000"/>
                      <w:kern w:val="2"/>
                      <w:sz w:val="21"/>
                      <w:szCs w:val="21"/>
                      <w:highlight w:val="none"/>
                      <w:u w:val="none"/>
                      <w:lang w:val="en-US" w:eastAsia="zh-CN" w:bidi="ar-SA"/>
                    </w:rPr>
                  </w:pPr>
                  <w:r>
                    <w:rPr>
                      <w:rFonts w:hint="eastAsia" w:cs="Times New Roman"/>
                      <w:b w:val="0"/>
                      <w:bCs/>
                      <w:color w:val="auto"/>
                      <w:sz w:val="21"/>
                      <w:szCs w:val="21"/>
                      <w:highlight w:val="none"/>
                      <w:vertAlign w:val="baseline"/>
                      <w:lang w:val="en-US" w:eastAsia="zh-CN"/>
                    </w:rPr>
                    <w:t>0.0963</w:t>
                  </w:r>
                </w:p>
              </w:tc>
              <w:tc>
                <w:tcPr>
                  <w:tcW w:w="814" w:type="pct"/>
                  <w:noWrap w:val="0"/>
                  <w:vAlign w:val="center"/>
                </w:tcPr>
                <w:p w14:paraId="43A36E2E">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w:t>
                  </w:r>
                </w:p>
              </w:tc>
              <w:tc>
                <w:tcPr>
                  <w:tcW w:w="626" w:type="pct"/>
                  <w:noWrap w:val="0"/>
                  <w:vAlign w:val="center"/>
                </w:tcPr>
                <w:p w14:paraId="30F5D2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 w:val="0"/>
                      <w:bCs/>
                      <w:color w:val="auto"/>
                      <w:sz w:val="21"/>
                      <w:szCs w:val="21"/>
                      <w:highlight w:val="none"/>
                      <w:vertAlign w:val="baseline"/>
                      <w:lang w:val="en-US" w:eastAsia="zh-CN"/>
                    </w:rPr>
                    <w:t>0.0963</w:t>
                  </w:r>
                </w:p>
              </w:tc>
              <w:tc>
                <w:tcPr>
                  <w:tcW w:w="596" w:type="pct"/>
                  <w:noWrap w:val="0"/>
                  <w:vAlign w:val="center"/>
                </w:tcPr>
                <w:p w14:paraId="7852BA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i w:val="0"/>
                      <w:iCs w:val="0"/>
                      <w:color w:val="000000"/>
                      <w:kern w:val="2"/>
                      <w:sz w:val="21"/>
                      <w:szCs w:val="21"/>
                      <w:highlight w:val="none"/>
                      <w:u w:val="none"/>
                      <w:lang w:val="en-US" w:eastAsia="zh-CN" w:bidi="ar-SA"/>
                    </w:rPr>
                  </w:pPr>
                  <w:r>
                    <w:rPr>
                      <w:rFonts w:hint="eastAsia" w:cs="Times New Roman"/>
                      <w:b w:val="0"/>
                      <w:bCs/>
                      <w:color w:val="auto"/>
                      <w:sz w:val="21"/>
                      <w:szCs w:val="21"/>
                      <w:highlight w:val="none"/>
                      <w:vertAlign w:val="baseline"/>
                      <w:lang w:val="en-US" w:eastAsia="zh-CN"/>
                    </w:rPr>
                    <w:t>+0.0963</w:t>
                  </w:r>
                </w:p>
              </w:tc>
            </w:tr>
            <w:tr w14:paraId="4EF3A279">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33E8B589">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2"/>
                      <w:sz w:val="21"/>
                      <w:szCs w:val="21"/>
                      <w:highlight w:val="none"/>
                      <w:u w:val="none"/>
                      <w:lang w:val="en-US" w:eastAsia="zh-CN" w:bidi="ar-SA"/>
                    </w:rPr>
                  </w:pPr>
                </w:p>
              </w:tc>
              <w:tc>
                <w:tcPr>
                  <w:tcW w:w="929" w:type="pct"/>
                  <w:noWrap w:val="0"/>
                  <w:vAlign w:val="center"/>
                </w:tcPr>
                <w:p w14:paraId="57381B1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颗粒物</w:t>
                  </w:r>
                </w:p>
              </w:tc>
              <w:tc>
                <w:tcPr>
                  <w:tcW w:w="716" w:type="pct"/>
                  <w:noWrap w:val="0"/>
                  <w:vAlign w:val="center"/>
                </w:tcPr>
                <w:p w14:paraId="31D29B9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未分析</w:t>
                  </w:r>
                </w:p>
              </w:tc>
              <w:tc>
                <w:tcPr>
                  <w:tcW w:w="648" w:type="pct"/>
                  <w:noWrap w:val="0"/>
                  <w:vAlign w:val="center"/>
                </w:tcPr>
                <w:p w14:paraId="5D655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i w:val="0"/>
                      <w:iCs w:val="0"/>
                      <w:color w:val="000000"/>
                      <w:kern w:val="2"/>
                      <w:sz w:val="21"/>
                      <w:szCs w:val="21"/>
                      <w:highlight w:val="none"/>
                      <w:u w:val="none"/>
                      <w:lang w:val="en-US" w:eastAsia="zh-CN" w:bidi="ar-SA"/>
                    </w:rPr>
                  </w:pPr>
                  <w:r>
                    <w:rPr>
                      <w:rFonts w:hint="eastAsia" w:cs="Times New Roman"/>
                      <w:b w:val="0"/>
                      <w:bCs/>
                      <w:color w:val="auto"/>
                      <w:sz w:val="21"/>
                      <w:szCs w:val="21"/>
                      <w:highlight w:val="none"/>
                      <w:vertAlign w:val="baseline"/>
                      <w:lang w:val="en-US" w:eastAsia="zh-CN"/>
                    </w:rPr>
                    <w:t>0.0043</w:t>
                  </w:r>
                </w:p>
              </w:tc>
              <w:tc>
                <w:tcPr>
                  <w:tcW w:w="814" w:type="pct"/>
                  <w:noWrap w:val="0"/>
                  <w:vAlign w:val="center"/>
                </w:tcPr>
                <w:p w14:paraId="1C3735D0">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w:t>
                  </w:r>
                </w:p>
              </w:tc>
              <w:tc>
                <w:tcPr>
                  <w:tcW w:w="626" w:type="pct"/>
                  <w:noWrap w:val="0"/>
                  <w:vAlign w:val="center"/>
                </w:tcPr>
                <w:p w14:paraId="2BAC70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 w:val="0"/>
                      <w:bCs/>
                      <w:color w:val="auto"/>
                      <w:sz w:val="21"/>
                      <w:szCs w:val="21"/>
                      <w:highlight w:val="none"/>
                      <w:vertAlign w:val="baseline"/>
                      <w:lang w:val="en-US" w:eastAsia="zh-CN"/>
                    </w:rPr>
                    <w:t>0.0043</w:t>
                  </w:r>
                </w:p>
              </w:tc>
              <w:tc>
                <w:tcPr>
                  <w:tcW w:w="596" w:type="pct"/>
                  <w:noWrap w:val="0"/>
                  <w:vAlign w:val="center"/>
                </w:tcPr>
                <w:p w14:paraId="22A7C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i w:val="0"/>
                      <w:iCs w:val="0"/>
                      <w:color w:val="000000"/>
                      <w:kern w:val="2"/>
                      <w:sz w:val="21"/>
                      <w:szCs w:val="21"/>
                      <w:highlight w:val="none"/>
                      <w:u w:val="none"/>
                      <w:lang w:val="en-US" w:eastAsia="zh-CN" w:bidi="ar-SA"/>
                    </w:rPr>
                  </w:pPr>
                  <w:r>
                    <w:rPr>
                      <w:rFonts w:hint="eastAsia" w:cs="Times New Roman"/>
                      <w:b w:val="0"/>
                      <w:bCs/>
                      <w:color w:val="auto"/>
                      <w:sz w:val="21"/>
                      <w:szCs w:val="21"/>
                      <w:highlight w:val="none"/>
                      <w:vertAlign w:val="baseline"/>
                      <w:lang w:val="en-US" w:eastAsia="zh-CN"/>
                    </w:rPr>
                    <w:t>+0.0043</w:t>
                  </w:r>
                </w:p>
              </w:tc>
            </w:tr>
            <w:tr w14:paraId="6345E6A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tcBorders>
                    <w:left w:val="nil"/>
                  </w:tcBorders>
                  <w:noWrap w:val="0"/>
                  <w:vAlign w:val="center"/>
                </w:tcPr>
                <w:p w14:paraId="4AE9BE93">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一般固体废物</w:t>
                  </w:r>
                </w:p>
              </w:tc>
              <w:tc>
                <w:tcPr>
                  <w:tcW w:w="929" w:type="pct"/>
                  <w:tcBorders>
                    <w:left w:val="nil"/>
                  </w:tcBorders>
                  <w:noWrap w:val="0"/>
                  <w:vAlign w:val="center"/>
                </w:tcPr>
                <w:p w14:paraId="517E162B">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废次品</w:t>
                  </w:r>
                </w:p>
              </w:tc>
              <w:tc>
                <w:tcPr>
                  <w:tcW w:w="716" w:type="pct"/>
                  <w:noWrap w:val="0"/>
                  <w:vAlign w:val="center"/>
                </w:tcPr>
                <w:p w14:paraId="550F55DA">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1</w:t>
                  </w:r>
                </w:p>
              </w:tc>
              <w:tc>
                <w:tcPr>
                  <w:tcW w:w="648" w:type="pct"/>
                  <w:noWrap w:val="0"/>
                  <w:vAlign w:val="center"/>
                </w:tcPr>
                <w:p w14:paraId="7446C52F">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1</w:t>
                  </w:r>
                </w:p>
              </w:tc>
              <w:tc>
                <w:tcPr>
                  <w:tcW w:w="814" w:type="pct"/>
                  <w:noWrap w:val="0"/>
                  <w:vAlign w:val="center"/>
                </w:tcPr>
                <w:p w14:paraId="2D6E618B">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p>
              </w:tc>
              <w:tc>
                <w:tcPr>
                  <w:tcW w:w="626" w:type="pct"/>
                  <w:noWrap w:val="0"/>
                  <w:vAlign w:val="center"/>
                </w:tcPr>
                <w:p w14:paraId="78E70F07">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1</w:t>
                  </w:r>
                </w:p>
              </w:tc>
              <w:tc>
                <w:tcPr>
                  <w:tcW w:w="596" w:type="pct"/>
                  <w:noWrap w:val="0"/>
                  <w:vAlign w:val="center"/>
                </w:tcPr>
                <w:p w14:paraId="30552497">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w:t>
                  </w:r>
                </w:p>
              </w:tc>
            </w:tr>
            <w:tr w14:paraId="04C8AF60">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tcBorders>
                    <w:left w:val="nil"/>
                  </w:tcBorders>
                  <w:noWrap w:val="0"/>
                  <w:vAlign w:val="center"/>
                </w:tcPr>
                <w:p w14:paraId="517A8A7F">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w:t>
                  </w:r>
                </w:p>
              </w:tc>
              <w:tc>
                <w:tcPr>
                  <w:tcW w:w="929" w:type="pct"/>
                  <w:tcBorders>
                    <w:left w:val="nil"/>
                  </w:tcBorders>
                  <w:noWrap w:val="0"/>
                  <w:vAlign w:val="center"/>
                </w:tcPr>
                <w:p w14:paraId="026CB38A">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原料空桶</w:t>
                  </w:r>
                </w:p>
              </w:tc>
              <w:tc>
                <w:tcPr>
                  <w:tcW w:w="716" w:type="pct"/>
                  <w:noWrap w:val="0"/>
                  <w:vAlign w:val="center"/>
                </w:tcPr>
                <w:p w14:paraId="410D84A2">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未分析</w:t>
                  </w:r>
                </w:p>
              </w:tc>
              <w:tc>
                <w:tcPr>
                  <w:tcW w:w="648" w:type="pct"/>
                  <w:noWrap w:val="0"/>
                  <w:vAlign w:val="center"/>
                </w:tcPr>
                <w:p w14:paraId="79FCD654">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0.36</w:t>
                  </w:r>
                </w:p>
              </w:tc>
              <w:tc>
                <w:tcPr>
                  <w:tcW w:w="814" w:type="pct"/>
                  <w:noWrap w:val="0"/>
                  <w:vAlign w:val="center"/>
                </w:tcPr>
                <w:p w14:paraId="163FB53F">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w:t>
                  </w:r>
                </w:p>
              </w:tc>
              <w:tc>
                <w:tcPr>
                  <w:tcW w:w="626" w:type="pct"/>
                  <w:noWrap w:val="0"/>
                  <w:vAlign w:val="center"/>
                </w:tcPr>
                <w:p w14:paraId="2572D9BA">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0.36</w:t>
                  </w:r>
                </w:p>
              </w:tc>
              <w:tc>
                <w:tcPr>
                  <w:tcW w:w="596" w:type="pct"/>
                  <w:noWrap w:val="0"/>
                  <w:vAlign w:val="center"/>
                </w:tcPr>
                <w:p w14:paraId="2C99F119">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+0.36</w:t>
                  </w:r>
                </w:p>
              </w:tc>
            </w:tr>
            <w:tr w14:paraId="52A34630">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restart"/>
                  <w:tcBorders>
                    <w:left w:val="nil"/>
                  </w:tcBorders>
                  <w:noWrap w:val="0"/>
                  <w:vAlign w:val="center"/>
                </w:tcPr>
                <w:p w14:paraId="0DB042E3">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危险废物</w:t>
                  </w:r>
                </w:p>
              </w:tc>
              <w:tc>
                <w:tcPr>
                  <w:tcW w:w="929" w:type="pct"/>
                  <w:tcBorders>
                    <w:left w:val="nil"/>
                  </w:tcBorders>
                  <w:noWrap w:val="0"/>
                  <w:vAlign w:val="center"/>
                </w:tcPr>
                <w:p w14:paraId="40CC3FDD">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废菲林片</w:t>
                  </w:r>
                </w:p>
              </w:tc>
              <w:tc>
                <w:tcPr>
                  <w:tcW w:w="716" w:type="pct"/>
                  <w:noWrap w:val="0"/>
                  <w:vAlign w:val="center"/>
                </w:tcPr>
                <w:p w14:paraId="6471F5EA">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未分析</w:t>
                  </w:r>
                </w:p>
              </w:tc>
              <w:tc>
                <w:tcPr>
                  <w:tcW w:w="648" w:type="pct"/>
                  <w:noWrap w:val="0"/>
                  <w:vAlign w:val="center"/>
                </w:tcPr>
                <w:p w14:paraId="53035511">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0.1</w:t>
                  </w:r>
                </w:p>
              </w:tc>
              <w:tc>
                <w:tcPr>
                  <w:tcW w:w="814" w:type="pct"/>
                  <w:noWrap w:val="0"/>
                  <w:vAlign w:val="center"/>
                </w:tcPr>
                <w:p w14:paraId="697E5D82">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p>
              </w:tc>
              <w:tc>
                <w:tcPr>
                  <w:tcW w:w="626" w:type="pct"/>
                  <w:noWrap w:val="0"/>
                  <w:vAlign w:val="center"/>
                </w:tcPr>
                <w:p w14:paraId="411E4D07">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0.1</w:t>
                  </w:r>
                </w:p>
              </w:tc>
              <w:tc>
                <w:tcPr>
                  <w:tcW w:w="596" w:type="pct"/>
                  <w:noWrap w:val="0"/>
                  <w:vAlign w:val="center"/>
                </w:tcPr>
                <w:p w14:paraId="0E86E55A">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+0.1</w:t>
                  </w:r>
                </w:p>
              </w:tc>
            </w:tr>
            <w:tr w14:paraId="549C1FA7">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66C7FC0C">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p>
              </w:tc>
              <w:tc>
                <w:tcPr>
                  <w:tcW w:w="929" w:type="pct"/>
                  <w:tcBorders>
                    <w:left w:val="nil"/>
                  </w:tcBorders>
                  <w:noWrap w:val="0"/>
                  <w:vAlign w:val="center"/>
                </w:tcPr>
                <w:p w14:paraId="08C3FD36">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废丝印版框</w:t>
                  </w:r>
                </w:p>
              </w:tc>
              <w:tc>
                <w:tcPr>
                  <w:tcW w:w="716" w:type="pct"/>
                  <w:noWrap w:val="0"/>
                  <w:vAlign w:val="center"/>
                </w:tcPr>
                <w:p w14:paraId="280D3CA9">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未分析</w:t>
                  </w:r>
                </w:p>
              </w:tc>
              <w:tc>
                <w:tcPr>
                  <w:tcW w:w="648" w:type="pct"/>
                  <w:noWrap w:val="0"/>
                  <w:vAlign w:val="center"/>
                </w:tcPr>
                <w:p w14:paraId="642B80F7">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0.2</w:t>
                  </w:r>
                </w:p>
              </w:tc>
              <w:tc>
                <w:tcPr>
                  <w:tcW w:w="814" w:type="pct"/>
                  <w:noWrap w:val="0"/>
                  <w:vAlign w:val="center"/>
                </w:tcPr>
                <w:p w14:paraId="6A2C005F">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p>
              </w:tc>
              <w:tc>
                <w:tcPr>
                  <w:tcW w:w="626" w:type="pct"/>
                  <w:noWrap w:val="0"/>
                  <w:vAlign w:val="center"/>
                </w:tcPr>
                <w:p w14:paraId="19D417C2">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0.2</w:t>
                  </w:r>
                </w:p>
              </w:tc>
              <w:tc>
                <w:tcPr>
                  <w:tcW w:w="596" w:type="pct"/>
                  <w:noWrap w:val="0"/>
                  <w:vAlign w:val="center"/>
                </w:tcPr>
                <w:p w14:paraId="6154FF76">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+0.2</w:t>
                  </w:r>
                </w:p>
              </w:tc>
            </w:tr>
            <w:tr w14:paraId="0A35E8C5">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12BDB302">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p>
              </w:tc>
              <w:tc>
                <w:tcPr>
                  <w:tcW w:w="929" w:type="pct"/>
                  <w:tcBorders>
                    <w:left w:val="nil"/>
                  </w:tcBorders>
                  <w:noWrap w:val="0"/>
                  <w:vAlign w:val="center"/>
                </w:tcPr>
                <w:p w14:paraId="0AF282C6">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沉淀污泥</w:t>
                  </w:r>
                </w:p>
              </w:tc>
              <w:tc>
                <w:tcPr>
                  <w:tcW w:w="716" w:type="pct"/>
                  <w:noWrap w:val="0"/>
                  <w:vAlign w:val="center"/>
                </w:tcPr>
                <w:p w14:paraId="702CEF41">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5.82</w:t>
                  </w:r>
                </w:p>
              </w:tc>
              <w:tc>
                <w:tcPr>
                  <w:tcW w:w="648" w:type="pct"/>
                  <w:noWrap w:val="0"/>
                  <w:vAlign w:val="center"/>
                </w:tcPr>
                <w:p w14:paraId="3161A5E7">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0.223</w:t>
                  </w:r>
                </w:p>
              </w:tc>
              <w:tc>
                <w:tcPr>
                  <w:tcW w:w="814" w:type="pct"/>
                  <w:noWrap w:val="0"/>
                  <w:vAlign w:val="center"/>
                </w:tcPr>
                <w:p w14:paraId="0380482A">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p>
              </w:tc>
              <w:tc>
                <w:tcPr>
                  <w:tcW w:w="626" w:type="pct"/>
                  <w:noWrap w:val="0"/>
                  <w:vAlign w:val="center"/>
                </w:tcPr>
                <w:p w14:paraId="48D7A915">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0.223</w:t>
                  </w:r>
                </w:p>
              </w:tc>
              <w:tc>
                <w:tcPr>
                  <w:tcW w:w="596" w:type="pct"/>
                  <w:noWrap w:val="0"/>
                  <w:vAlign w:val="center"/>
                </w:tcPr>
                <w:p w14:paraId="522D9668">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-5.597</w:t>
                  </w:r>
                </w:p>
              </w:tc>
            </w:tr>
            <w:tr w14:paraId="5F087304">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6BA36068">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p>
              </w:tc>
              <w:tc>
                <w:tcPr>
                  <w:tcW w:w="929" w:type="pct"/>
                  <w:tcBorders>
                    <w:left w:val="nil"/>
                  </w:tcBorders>
                  <w:noWrap w:val="0"/>
                  <w:vAlign w:val="center"/>
                </w:tcPr>
                <w:p w14:paraId="3D91EEC4">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废活性炭</w:t>
                  </w:r>
                </w:p>
              </w:tc>
              <w:tc>
                <w:tcPr>
                  <w:tcW w:w="716" w:type="pct"/>
                  <w:noWrap w:val="0"/>
                  <w:vAlign w:val="center"/>
                </w:tcPr>
                <w:p w14:paraId="2C2B7F50">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未分析</w:t>
                  </w:r>
                </w:p>
              </w:tc>
              <w:tc>
                <w:tcPr>
                  <w:tcW w:w="648" w:type="pct"/>
                  <w:noWrap w:val="0"/>
                  <w:vAlign w:val="center"/>
                </w:tcPr>
                <w:p w14:paraId="79B3896F">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w:t>
                  </w:r>
                  <w:r>
                    <w:rPr>
                      <w:rFonts w:hint="eastAsia" w:cs="Times New Roman"/>
                      <w:bCs/>
                      <w:i w:val="0"/>
                      <w:iCs w:val="0"/>
                      <w:color w:val="000000"/>
                      <w:kern w:val="0"/>
                      <w:sz w:val="21"/>
                      <w:szCs w:val="21"/>
                      <w:highlight w:val="none"/>
                      <w:u w:val="none"/>
                      <w:lang w:val="en-US" w:eastAsia="zh-CN" w:bidi="ar"/>
                    </w:rPr>
                    <w:t>913</w:t>
                  </w:r>
                </w:p>
              </w:tc>
              <w:tc>
                <w:tcPr>
                  <w:tcW w:w="814" w:type="pct"/>
                  <w:noWrap w:val="0"/>
                  <w:vAlign w:val="center"/>
                </w:tcPr>
                <w:p w14:paraId="02CCE5FC">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p>
              </w:tc>
              <w:tc>
                <w:tcPr>
                  <w:tcW w:w="626" w:type="pct"/>
                  <w:noWrap w:val="0"/>
                  <w:vAlign w:val="center"/>
                </w:tcPr>
                <w:p w14:paraId="4D65059B">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w:t>
                  </w:r>
                  <w:r>
                    <w:rPr>
                      <w:rFonts w:hint="eastAsia" w:cs="Times New Roman"/>
                      <w:bCs/>
                      <w:i w:val="0"/>
                      <w:iCs w:val="0"/>
                      <w:color w:val="000000"/>
                      <w:kern w:val="0"/>
                      <w:sz w:val="21"/>
                      <w:szCs w:val="21"/>
                      <w:highlight w:val="none"/>
                      <w:u w:val="none"/>
                      <w:lang w:val="en-US" w:eastAsia="zh-CN" w:bidi="ar"/>
                    </w:rPr>
                    <w:t>913</w:t>
                  </w:r>
                </w:p>
              </w:tc>
              <w:tc>
                <w:tcPr>
                  <w:tcW w:w="596" w:type="pct"/>
                  <w:noWrap w:val="0"/>
                  <w:vAlign w:val="center"/>
                </w:tcPr>
                <w:p w14:paraId="1691127E">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w:t>
                  </w:r>
                  <w:r>
                    <w:rPr>
                      <w:rFonts w:hint="eastAsia" w:cs="Times New Roman"/>
                      <w:bCs/>
                      <w:i w:val="0"/>
                      <w:iCs w:val="0"/>
                      <w:color w:val="000000"/>
                      <w:kern w:val="0"/>
                      <w:sz w:val="21"/>
                      <w:szCs w:val="21"/>
                      <w:highlight w:val="none"/>
                      <w:u w:val="none"/>
                      <w:lang w:val="en-US" w:eastAsia="zh-CN" w:bidi="ar"/>
                    </w:rPr>
                    <w:t>913</w:t>
                  </w:r>
                </w:p>
              </w:tc>
            </w:tr>
            <w:tr w14:paraId="665FBF2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tcBorders>
                    <w:left w:val="nil"/>
                  </w:tcBorders>
                  <w:noWrap w:val="0"/>
                  <w:vAlign w:val="center"/>
                </w:tcPr>
                <w:p w14:paraId="6AE07F4A">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p>
              </w:tc>
              <w:tc>
                <w:tcPr>
                  <w:tcW w:w="929" w:type="pct"/>
                  <w:tcBorders>
                    <w:left w:val="nil"/>
                  </w:tcBorders>
                  <w:noWrap w:val="0"/>
                  <w:vAlign w:val="center"/>
                </w:tcPr>
                <w:p w14:paraId="7E069D6B">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破损、变形的</w:t>
                  </w:r>
                  <w:r>
                    <w:rPr>
                      <w:rFonts w:hint="eastAsia" w:ascii="Times New Roman" w:hAnsi="Times New Roman" w:eastAsia="宋体" w:cs="Times New Roman"/>
                      <w:bCs/>
                      <w:i w:val="0"/>
                      <w:iCs w:val="0"/>
                      <w:color w:val="000000"/>
                      <w:kern w:val="0"/>
                      <w:sz w:val="21"/>
                      <w:szCs w:val="21"/>
                      <w:highlight w:val="none"/>
                      <w:u w:val="none"/>
                      <w:lang w:val="en-US" w:eastAsia="zh-CN" w:bidi="ar"/>
                    </w:rPr>
                    <w:t>原料空桶</w:t>
                  </w:r>
                </w:p>
              </w:tc>
              <w:tc>
                <w:tcPr>
                  <w:tcW w:w="716" w:type="pct"/>
                  <w:noWrap w:val="0"/>
                  <w:vAlign w:val="center"/>
                </w:tcPr>
                <w:p w14:paraId="1D36A72D">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未分析</w:t>
                  </w:r>
                </w:p>
              </w:tc>
              <w:tc>
                <w:tcPr>
                  <w:tcW w:w="648" w:type="pct"/>
                  <w:noWrap w:val="0"/>
                  <w:vAlign w:val="center"/>
                </w:tcPr>
                <w:p w14:paraId="753FA6C2">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0.04</w:t>
                  </w:r>
                </w:p>
              </w:tc>
              <w:tc>
                <w:tcPr>
                  <w:tcW w:w="814" w:type="pct"/>
                  <w:noWrap w:val="0"/>
                  <w:vAlign w:val="center"/>
                </w:tcPr>
                <w:p w14:paraId="4EA1F132">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p>
              </w:tc>
              <w:tc>
                <w:tcPr>
                  <w:tcW w:w="626" w:type="pct"/>
                  <w:noWrap w:val="0"/>
                  <w:vAlign w:val="center"/>
                </w:tcPr>
                <w:p w14:paraId="0A0B74AD">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0.04</w:t>
                  </w:r>
                </w:p>
              </w:tc>
              <w:tc>
                <w:tcPr>
                  <w:tcW w:w="596" w:type="pct"/>
                  <w:noWrap w:val="0"/>
                  <w:vAlign w:val="center"/>
                </w:tcPr>
                <w:p w14:paraId="19648412">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r>
                    <w:rPr>
                      <w:rFonts w:hint="eastAsia" w:cs="Times New Roman"/>
                      <w:bCs/>
                      <w:i w:val="0"/>
                      <w:iCs w:val="0"/>
                      <w:color w:val="000000"/>
                      <w:kern w:val="0"/>
                      <w:sz w:val="21"/>
                      <w:szCs w:val="21"/>
                      <w:highlight w:val="none"/>
                      <w:u w:val="none"/>
                      <w:lang w:val="en-US" w:eastAsia="zh-CN" w:bidi="ar"/>
                    </w:rPr>
                    <w:t>0.04</w:t>
                  </w:r>
                </w:p>
              </w:tc>
            </w:tr>
            <w:tr w14:paraId="4551D6E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8" w:type="pct"/>
                  <w:gridSpan w:val="2"/>
                  <w:tcBorders>
                    <w:left w:val="nil"/>
                  </w:tcBorders>
                  <w:noWrap w:val="0"/>
                  <w:vAlign w:val="center"/>
                </w:tcPr>
                <w:p w14:paraId="1E11E34F">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生活垃圾</w:t>
                  </w:r>
                </w:p>
              </w:tc>
              <w:tc>
                <w:tcPr>
                  <w:tcW w:w="716" w:type="pct"/>
                  <w:noWrap w:val="0"/>
                  <w:vAlign w:val="center"/>
                </w:tcPr>
                <w:p w14:paraId="116DD8B7">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9.0</w:t>
                  </w:r>
                </w:p>
              </w:tc>
              <w:tc>
                <w:tcPr>
                  <w:tcW w:w="648" w:type="pct"/>
                  <w:noWrap w:val="0"/>
                  <w:vAlign w:val="center"/>
                </w:tcPr>
                <w:p w14:paraId="6F1D3869">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14.4</w:t>
                  </w:r>
                </w:p>
              </w:tc>
              <w:tc>
                <w:tcPr>
                  <w:tcW w:w="814" w:type="pct"/>
                  <w:noWrap w:val="0"/>
                  <w:vAlign w:val="center"/>
                </w:tcPr>
                <w:p w14:paraId="47DA1818">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p>
              </w:tc>
              <w:tc>
                <w:tcPr>
                  <w:tcW w:w="626" w:type="pct"/>
                  <w:noWrap w:val="0"/>
                  <w:vAlign w:val="center"/>
                </w:tcPr>
                <w:p w14:paraId="137E35F7">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14.4</w:t>
                  </w:r>
                </w:p>
              </w:tc>
              <w:tc>
                <w:tcPr>
                  <w:tcW w:w="596" w:type="pct"/>
                  <w:noWrap w:val="0"/>
                  <w:vAlign w:val="center"/>
                </w:tcPr>
                <w:p w14:paraId="7109A557">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r>
                    <w:rPr>
                      <w:rFonts w:hint="eastAsia" w:cs="Times New Roman"/>
                      <w:bCs/>
                      <w:i w:val="0"/>
                      <w:iCs w:val="0"/>
                      <w:color w:val="000000"/>
                      <w:kern w:val="0"/>
                      <w:sz w:val="21"/>
                      <w:szCs w:val="21"/>
                      <w:highlight w:val="none"/>
                      <w:u w:val="none"/>
                      <w:lang w:val="en-US" w:eastAsia="zh-CN" w:bidi="ar"/>
                    </w:rPr>
                    <w:t>5.4</w:t>
                  </w:r>
                </w:p>
              </w:tc>
            </w:tr>
          </w:tbl>
          <w:p w14:paraId="5B571D62">
            <w:pPr>
              <w:adjustRightInd w:val="0"/>
              <w:snapToGrid w:val="0"/>
              <w:rPr>
                <w:rFonts w:hint="default" w:ascii="Times New Roman" w:hAnsi="Times New Roman" w:eastAsia="宋体" w:cs="Times New Roman"/>
                <w:bCs/>
                <w:color w:val="auto"/>
                <w:spacing w:val="-10"/>
                <w:sz w:val="24"/>
                <w:szCs w:val="24"/>
                <w:highlight w:val="none"/>
              </w:rPr>
            </w:pPr>
          </w:p>
        </w:tc>
      </w:tr>
    </w:tbl>
    <w:p w14:paraId="6FEC03E2">
      <w:pPr>
        <w:adjustRightInd w:val="0"/>
        <w:snapToGrid w:val="0"/>
        <w:spacing w:line="360" w:lineRule="auto"/>
        <w:rPr>
          <w:rFonts w:hint="default" w:ascii="Times New Roman" w:hAnsi="Times New Roman" w:eastAsia="宋体" w:cs="Times New Roman"/>
          <w:b/>
          <w:kern w:val="0"/>
          <w:sz w:val="28"/>
          <w:szCs w:val="28"/>
          <w:highlight w:val="none"/>
        </w:rPr>
        <w:sectPr>
          <w:pgSz w:w="11907" w:h="16840"/>
          <w:pgMar w:top="1440" w:right="1803" w:bottom="1440" w:left="1803" w:header="851" w:footer="850" w:gutter="0"/>
          <w:pgBorders>
            <w:top w:val="none" w:sz="0" w:space="0"/>
            <w:left w:val="none" w:sz="0" w:space="0"/>
            <w:bottom w:val="none" w:sz="0" w:space="0"/>
            <w:right w:val="none" w:sz="0" w:space="0"/>
          </w:pgBorders>
          <w:pgNumType w:fmt="decimal" w:start="1"/>
          <w:cols w:space="720" w:num="1"/>
          <w:rtlGutter w:val="0"/>
          <w:docGrid w:linePitch="312" w:charSpace="0"/>
        </w:sectPr>
      </w:pPr>
    </w:p>
    <w:p w14:paraId="03A8EB76">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default" w:ascii="Times New Roman" w:hAnsi="Times New Roman" w:eastAsia="宋体" w:cs="Times New Roman"/>
          <w:b/>
          <w:bCs w:val="0"/>
          <w:color w:val="000000"/>
          <w:kern w:val="0"/>
          <w:sz w:val="30"/>
          <w:szCs w:val="28"/>
          <w:highlight w:val="none"/>
          <w:lang w:val="en-US" w:eastAsia="zh-CN" w:bidi="ar-SA"/>
        </w:rPr>
      </w:pPr>
      <w:r>
        <w:rPr>
          <w:rFonts w:hint="default" w:ascii="Times New Roman" w:hAnsi="Times New Roman" w:eastAsia="宋体" w:cs="Times New Roman"/>
          <w:b/>
          <w:bCs w:val="0"/>
          <w:color w:val="000000"/>
          <w:kern w:val="0"/>
          <w:sz w:val="30"/>
          <w:szCs w:val="28"/>
          <w:highlight w:val="none"/>
          <w:lang w:val="en-US" w:eastAsia="zh-CN" w:bidi="ar-SA"/>
        </w:rPr>
        <w:t>五、</w:t>
      </w:r>
      <w:bookmarkStart w:id="69" w:name="_Hlk54167917"/>
      <w:r>
        <w:rPr>
          <w:rFonts w:hint="default" w:ascii="Times New Roman" w:hAnsi="Times New Roman" w:eastAsia="宋体" w:cs="Times New Roman"/>
          <w:b/>
          <w:bCs w:val="0"/>
          <w:color w:val="000000"/>
          <w:kern w:val="0"/>
          <w:sz w:val="30"/>
          <w:szCs w:val="28"/>
          <w:highlight w:val="none"/>
          <w:lang w:val="en-US" w:eastAsia="zh-CN" w:bidi="ar-SA"/>
        </w:rPr>
        <w:t>环境保护措施监督检查清单</w:t>
      </w:r>
      <w:bookmarkEnd w:id="69"/>
    </w:p>
    <w:tbl>
      <w:tblPr>
        <w:tblStyle w:val="25"/>
        <w:tblW w:w="4998" w:type="pct"/>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21"/>
        <w:gridCol w:w="696"/>
        <w:gridCol w:w="697"/>
        <w:gridCol w:w="1282"/>
        <w:gridCol w:w="1614"/>
        <w:gridCol w:w="2903"/>
      </w:tblGrid>
      <w:tr w14:paraId="4E5F7FF9">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tcBorders>
              <w:tl2br w:val="single" w:color="auto" w:sz="12" w:space="0"/>
            </w:tcBorders>
            <w:noWrap w:val="0"/>
            <w:vAlign w:val="top"/>
          </w:tcPr>
          <w:p w14:paraId="5FC01F5D">
            <w:pPr>
              <w:keepNext w:val="0"/>
              <w:keepLines w:val="0"/>
              <w:pageBreakBefore w:val="0"/>
              <w:widowControl w:val="0"/>
              <w:kinsoku/>
              <w:wordWrap/>
              <w:overflowPunct/>
              <w:topLinePunct w:val="0"/>
              <w:autoSpaceDE/>
              <w:autoSpaceDN/>
              <w:bidi w:val="0"/>
              <w:adjustRightInd w:val="0"/>
              <w:snapToGrid w:val="0"/>
              <w:spacing w:line="240" w:lineRule="auto"/>
              <w:ind w:firstLine="630" w:firstLineChars="30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内容</w:t>
            </w:r>
          </w:p>
          <w:p w14:paraId="5FBA3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要素</w:t>
            </w:r>
          </w:p>
        </w:tc>
        <w:tc>
          <w:tcPr>
            <w:tcW w:w="818" w:type="pct"/>
            <w:gridSpan w:val="2"/>
            <w:tcBorders>
              <w:tl2br w:val="nil"/>
              <w:tr2bl w:val="nil"/>
            </w:tcBorders>
            <w:noWrap w:val="0"/>
            <w:vAlign w:val="center"/>
          </w:tcPr>
          <w:p w14:paraId="642DE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排放口(编号、名称)/污染源</w:t>
            </w:r>
          </w:p>
        </w:tc>
        <w:tc>
          <w:tcPr>
            <w:tcW w:w="752" w:type="pct"/>
            <w:tcBorders>
              <w:tl2br w:val="nil"/>
              <w:tr2bl w:val="nil"/>
            </w:tcBorders>
            <w:noWrap w:val="0"/>
            <w:vAlign w:val="center"/>
          </w:tcPr>
          <w:p w14:paraId="480D3B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污染物项目</w:t>
            </w:r>
          </w:p>
        </w:tc>
        <w:tc>
          <w:tcPr>
            <w:tcW w:w="947" w:type="pct"/>
            <w:tcBorders>
              <w:tl2br w:val="nil"/>
              <w:tr2bl w:val="nil"/>
            </w:tcBorders>
            <w:noWrap w:val="0"/>
            <w:vAlign w:val="center"/>
          </w:tcPr>
          <w:p w14:paraId="222014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环境保护措施</w:t>
            </w:r>
          </w:p>
        </w:tc>
        <w:tc>
          <w:tcPr>
            <w:tcW w:w="1705" w:type="pct"/>
            <w:tcBorders>
              <w:tl2br w:val="nil"/>
              <w:tr2bl w:val="nil"/>
            </w:tcBorders>
            <w:noWrap w:val="0"/>
            <w:vAlign w:val="center"/>
          </w:tcPr>
          <w:p w14:paraId="2A771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执行标准</w:t>
            </w:r>
          </w:p>
        </w:tc>
      </w:tr>
      <w:tr w14:paraId="04F6A035">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vMerge w:val="restart"/>
            <w:tcBorders>
              <w:tl2br w:val="nil"/>
              <w:tr2bl w:val="nil"/>
            </w:tcBorders>
            <w:noWrap w:val="0"/>
            <w:vAlign w:val="center"/>
          </w:tcPr>
          <w:p w14:paraId="293342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大气环境</w:t>
            </w:r>
          </w:p>
          <w:p w14:paraId="743180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818" w:type="pct"/>
            <w:gridSpan w:val="2"/>
            <w:tcBorders>
              <w:tl2br w:val="nil"/>
              <w:tr2bl w:val="nil"/>
            </w:tcBorders>
            <w:noWrap w:val="0"/>
            <w:vAlign w:val="center"/>
          </w:tcPr>
          <w:p w14:paraId="67C0F90F">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有组织废气排放口</w:t>
            </w:r>
          </w:p>
          <w:p w14:paraId="70862B7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sz w:val="21"/>
                <w:szCs w:val="21"/>
                <w:highlight w:val="none"/>
                <w:lang w:val="en-US" w:eastAsia="zh-CN"/>
              </w:rPr>
              <w:t>DA001</w:t>
            </w:r>
          </w:p>
        </w:tc>
        <w:tc>
          <w:tcPr>
            <w:tcW w:w="752" w:type="pct"/>
            <w:tcBorders>
              <w:tl2br w:val="nil"/>
              <w:tr2bl w:val="nil"/>
            </w:tcBorders>
            <w:noWrap w:val="0"/>
            <w:vAlign w:val="center"/>
          </w:tcPr>
          <w:p w14:paraId="6F838E7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sz w:val="21"/>
                <w:szCs w:val="21"/>
                <w:highlight w:val="none"/>
                <w:vertAlign w:val="baseline"/>
                <w:lang w:val="en-US" w:eastAsia="zh-CN"/>
              </w:rPr>
            </w:pPr>
            <w:r>
              <w:rPr>
                <w:rFonts w:hint="eastAsia" w:cs="Times New Roman"/>
                <w:bCs/>
                <w:color w:val="000000"/>
                <w:sz w:val="21"/>
                <w:szCs w:val="21"/>
                <w:highlight w:val="none"/>
                <w:lang w:val="en-US" w:eastAsia="zh-CN"/>
              </w:rPr>
              <w:t>二氧化硫、氮氧化物、颗粒物</w:t>
            </w:r>
          </w:p>
        </w:tc>
        <w:tc>
          <w:tcPr>
            <w:tcW w:w="947" w:type="pct"/>
            <w:tcBorders>
              <w:tl2br w:val="nil"/>
              <w:tr2bl w:val="nil"/>
            </w:tcBorders>
            <w:noWrap w:val="0"/>
            <w:vAlign w:val="center"/>
          </w:tcPr>
          <w:p w14:paraId="6A3FC20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outlineLvl w:val="9"/>
              <w:rPr>
                <w:rFonts w:hint="default" w:ascii="Times New Roman" w:hAnsi="Times New Roman" w:eastAsia="宋体" w:cs="Times New Roman"/>
                <w:sz w:val="21"/>
                <w:szCs w:val="21"/>
                <w:highlight w:val="none"/>
              </w:rPr>
            </w:pPr>
            <w:r>
              <w:rPr>
                <w:rFonts w:hint="eastAsia" w:cs="Times New Roman"/>
                <w:color w:val="000000"/>
                <w:sz w:val="21"/>
                <w:szCs w:val="21"/>
                <w:highlight w:val="none"/>
                <w:lang w:val="en-US" w:eastAsia="zh-CN"/>
              </w:rPr>
              <w:t>/</w:t>
            </w:r>
          </w:p>
        </w:tc>
        <w:tc>
          <w:tcPr>
            <w:tcW w:w="1705" w:type="pct"/>
            <w:tcBorders>
              <w:tl2br w:val="nil"/>
              <w:tr2bl w:val="nil"/>
            </w:tcBorders>
            <w:noWrap w:val="0"/>
            <w:vAlign w:val="center"/>
          </w:tcPr>
          <w:p w14:paraId="24EA220A">
            <w:pPr>
              <w:pStyle w:val="87"/>
              <w:snapToGrid/>
              <w:spacing w:line="240" w:lineRule="auto"/>
              <w:ind w:left="0"/>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rPr>
              <w:t>GB16297-1996《大气污染物综合排放标准》表2二级标准</w:t>
            </w:r>
          </w:p>
        </w:tc>
      </w:tr>
      <w:tr w14:paraId="66091AE4">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vMerge w:val="continue"/>
            <w:tcBorders>
              <w:tl2br w:val="nil"/>
              <w:tr2bl w:val="nil"/>
            </w:tcBorders>
            <w:noWrap w:val="0"/>
            <w:vAlign w:val="center"/>
          </w:tcPr>
          <w:p w14:paraId="2A6F8A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818" w:type="pct"/>
            <w:gridSpan w:val="2"/>
            <w:tcBorders>
              <w:tl2br w:val="nil"/>
              <w:tr2bl w:val="nil"/>
            </w:tcBorders>
            <w:noWrap w:val="0"/>
            <w:vAlign w:val="center"/>
          </w:tcPr>
          <w:p w14:paraId="3E46D9B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有组织废气排放口</w:t>
            </w:r>
          </w:p>
          <w:p w14:paraId="5D2F1A25">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DA00</w:t>
            </w:r>
            <w:r>
              <w:rPr>
                <w:rFonts w:hint="eastAsia" w:ascii="Times New Roman" w:hAnsi="Times New Roman" w:eastAsia="宋体" w:cs="Times New Roman"/>
                <w:color w:val="000000"/>
                <w:sz w:val="21"/>
                <w:szCs w:val="21"/>
                <w:highlight w:val="none"/>
                <w:lang w:val="en-US" w:eastAsia="zh-CN"/>
              </w:rPr>
              <w:t>2</w:t>
            </w:r>
          </w:p>
        </w:tc>
        <w:tc>
          <w:tcPr>
            <w:tcW w:w="752" w:type="pct"/>
            <w:tcBorders>
              <w:tl2br w:val="nil"/>
              <w:tr2bl w:val="nil"/>
            </w:tcBorders>
            <w:noWrap w:val="0"/>
            <w:vAlign w:val="center"/>
          </w:tcPr>
          <w:p w14:paraId="2B3CA51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kern w:val="2"/>
                <w:sz w:val="21"/>
                <w:szCs w:val="21"/>
                <w:highlight w:val="none"/>
                <w:vertAlign w:val="baseline"/>
                <w:lang w:val="en-US" w:eastAsia="zh-CN" w:bidi="ar-SA"/>
              </w:rPr>
            </w:pPr>
            <w:r>
              <w:rPr>
                <w:rFonts w:hint="eastAsia" w:ascii="Times New Roman" w:hAnsi="Times New Roman" w:eastAsia="宋体" w:cs="Times New Roman"/>
                <w:bCs/>
                <w:color w:val="000000"/>
                <w:sz w:val="21"/>
                <w:szCs w:val="21"/>
                <w:highlight w:val="none"/>
                <w:lang w:val="en-US" w:eastAsia="zh-CN"/>
              </w:rPr>
              <w:t>非甲烷总烃</w:t>
            </w:r>
          </w:p>
        </w:tc>
        <w:tc>
          <w:tcPr>
            <w:tcW w:w="947" w:type="pct"/>
            <w:tcBorders>
              <w:tl2br w:val="nil"/>
              <w:tr2bl w:val="nil"/>
            </w:tcBorders>
            <w:noWrap w:val="0"/>
            <w:vAlign w:val="center"/>
          </w:tcPr>
          <w:p w14:paraId="7546717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活性炭吸附装置</w:t>
            </w:r>
            <w:r>
              <w:rPr>
                <w:rFonts w:hint="default" w:ascii="Times New Roman" w:hAnsi="Times New Roman" w:eastAsia="宋体" w:cs="Times New Roman"/>
                <w:color w:val="000000"/>
                <w:sz w:val="21"/>
                <w:szCs w:val="21"/>
                <w:highlight w:val="none"/>
                <w:lang w:val="en-US" w:eastAsia="zh-CN"/>
              </w:rPr>
              <w:t>（TA001）</w:t>
            </w:r>
          </w:p>
        </w:tc>
        <w:tc>
          <w:tcPr>
            <w:tcW w:w="1705" w:type="pct"/>
            <w:tcBorders>
              <w:tl2br w:val="nil"/>
              <w:tr2bl w:val="nil"/>
            </w:tcBorders>
            <w:noWrap w:val="0"/>
            <w:vAlign w:val="center"/>
          </w:tcPr>
          <w:p w14:paraId="32D1EB1B">
            <w:pPr>
              <w:pStyle w:val="87"/>
              <w:snapToGrid/>
              <w:spacing w:line="240" w:lineRule="auto"/>
              <w:ind w:left="0" w:leftChars="0"/>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rPr>
              <w:t>DB35/1784-2018《印刷行业挥发性有机物排放标准》“表1排气筒挥发性有机物排放限值”</w:t>
            </w:r>
          </w:p>
        </w:tc>
      </w:tr>
      <w:tr w14:paraId="59ECABBA">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vMerge w:val="continue"/>
            <w:tcBorders>
              <w:tl2br w:val="nil"/>
              <w:tr2bl w:val="nil"/>
            </w:tcBorders>
            <w:noWrap w:val="0"/>
            <w:vAlign w:val="center"/>
          </w:tcPr>
          <w:p w14:paraId="595EE3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818" w:type="pct"/>
            <w:gridSpan w:val="2"/>
            <w:tcBorders>
              <w:tl2br w:val="nil"/>
              <w:tr2bl w:val="nil"/>
            </w:tcBorders>
            <w:noWrap w:val="0"/>
            <w:vAlign w:val="center"/>
          </w:tcPr>
          <w:p w14:paraId="024A8CB6">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厂界无组织</w:t>
            </w:r>
          </w:p>
        </w:tc>
        <w:tc>
          <w:tcPr>
            <w:tcW w:w="752" w:type="pct"/>
            <w:tcBorders>
              <w:tl2br w:val="nil"/>
              <w:tr2bl w:val="nil"/>
            </w:tcBorders>
            <w:noWrap w:val="0"/>
            <w:vAlign w:val="center"/>
          </w:tcPr>
          <w:p w14:paraId="02E7F4F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sz w:val="21"/>
                <w:szCs w:val="21"/>
                <w:highlight w:val="none"/>
                <w:vertAlign w:val="baseline"/>
                <w:lang w:val="en-US" w:eastAsia="zh-CN"/>
              </w:rPr>
            </w:pPr>
            <w:r>
              <w:rPr>
                <w:rFonts w:hint="eastAsia" w:ascii="Times New Roman" w:hAnsi="Times New Roman" w:eastAsia="宋体" w:cs="Times New Roman"/>
                <w:bCs/>
                <w:color w:val="000000"/>
                <w:sz w:val="21"/>
                <w:szCs w:val="21"/>
                <w:highlight w:val="none"/>
                <w:lang w:val="en-US" w:eastAsia="zh-CN"/>
              </w:rPr>
              <w:t>非甲烷总烃</w:t>
            </w:r>
            <w:r>
              <w:rPr>
                <w:rFonts w:hint="eastAsia" w:cs="Times New Roman"/>
                <w:bCs/>
                <w:color w:val="000000"/>
                <w:sz w:val="21"/>
                <w:szCs w:val="21"/>
                <w:highlight w:val="none"/>
                <w:lang w:val="en-US" w:eastAsia="zh-CN"/>
              </w:rPr>
              <w:t>、二氧化硫、氮氧化物、颗粒物</w:t>
            </w:r>
          </w:p>
        </w:tc>
        <w:tc>
          <w:tcPr>
            <w:tcW w:w="947" w:type="pct"/>
            <w:tcBorders>
              <w:tl2br w:val="nil"/>
              <w:tr2bl w:val="nil"/>
            </w:tcBorders>
            <w:noWrap w:val="0"/>
            <w:vAlign w:val="center"/>
          </w:tcPr>
          <w:p w14:paraId="72F7073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加强车间密闭、提高集气效率</w:t>
            </w:r>
          </w:p>
        </w:tc>
        <w:tc>
          <w:tcPr>
            <w:tcW w:w="1705" w:type="pct"/>
            <w:tcBorders>
              <w:tl2br w:val="nil"/>
              <w:tr2bl w:val="nil"/>
            </w:tcBorders>
            <w:noWrap w:val="0"/>
            <w:vAlign w:val="center"/>
          </w:tcPr>
          <w:p w14:paraId="7A0943A7">
            <w:pPr>
              <w:pStyle w:val="87"/>
              <w:snapToGrid/>
              <w:spacing w:line="240" w:lineRule="auto"/>
              <w:ind w:left="0" w:firstLine="0" w:firstLineChars="0"/>
              <w:rPr>
                <w:rFonts w:hint="default" w:ascii="Times New Roman" w:hAnsi="Times New Roman" w:eastAsia="宋体" w:cs="Times New Roman"/>
                <w:bCs/>
                <w:color w:val="000000"/>
                <w:kern w:val="2"/>
                <w:sz w:val="21"/>
                <w:szCs w:val="21"/>
                <w:highlight w:val="none"/>
                <w:lang w:val="en-US" w:eastAsia="zh-CN"/>
              </w:rPr>
            </w:pPr>
            <w:r>
              <w:rPr>
                <w:rFonts w:hint="eastAsia" w:ascii="Times New Roman" w:hAnsi="Times New Roman" w:eastAsia="宋体" w:cs="Times New Roman"/>
                <w:bCs/>
                <w:color w:val="000000"/>
                <w:kern w:val="2"/>
                <w:sz w:val="21"/>
                <w:szCs w:val="21"/>
                <w:highlight w:val="none"/>
                <w:lang w:val="en-US" w:eastAsia="zh-CN"/>
              </w:rPr>
              <w:t>DB35/1784-2018《印刷行业挥发性有机物排放标准》中表3无组织排放控制要求</w:t>
            </w:r>
            <w:r>
              <w:rPr>
                <w:rFonts w:hint="eastAsia" w:ascii="Times New Roman" w:cs="Times New Roman"/>
                <w:bCs/>
                <w:color w:val="000000"/>
                <w:kern w:val="2"/>
                <w:sz w:val="21"/>
                <w:szCs w:val="21"/>
                <w:highlight w:val="none"/>
                <w:lang w:val="en-US" w:eastAsia="zh-CN"/>
              </w:rPr>
              <w:t>和</w:t>
            </w:r>
            <w:r>
              <w:rPr>
                <w:rFonts w:hint="eastAsia" w:ascii="Times New Roman" w:hAnsi="Times New Roman" w:eastAsia="宋体" w:cs="Times New Roman"/>
                <w:bCs/>
                <w:color w:val="000000"/>
                <w:kern w:val="2"/>
                <w:sz w:val="21"/>
                <w:szCs w:val="21"/>
                <w:highlight w:val="none"/>
                <w:lang w:val="en-US" w:eastAsia="zh-CN"/>
              </w:rPr>
              <w:t>GB16297-1996《大气污染物综合排放标准》表2二级标准</w:t>
            </w:r>
          </w:p>
        </w:tc>
      </w:tr>
      <w:tr w14:paraId="62F337EA">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vMerge w:val="continue"/>
            <w:tcBorders>
              <w:tl2br w:val="nil"/>
              <w:tr2bl w:val="nil"/>
            </w:tcBorders>
            <w:noWrap w:val="0"/>
            <w:vAlign w:val="center"/>
          </w:tcPr>
          <w:p w14:paraId="565431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408" w:type="pct"/>
            <w:vMerge w:val="restart"/>
            <w:tcBorders>
              <w:tl2br w:val="nil"/>
              <w:tr2bl w:val="nil"/>
            </w:tcBorders>
            <w:noWrap w:val="0"/>
            <w:vAlign w:val="center"/>
          </w:tcPr>
          <w:p w14:paraId="3F6A629B">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厂区内</w:t>
            </w:r>
          </w:p>
        </w:tc>
        <w:tc>
          <w:tcPr>
            <w:tcW w:w="409" w:type="pct"/>
            <w:tcBorders>
              <w:tl2br w:val="nil"/>
              <w:tr2bl w:val="nil"/>
            </w:tcBorders>
            <w:noWrap w:val="0"/>
            <w:vAlign w:val="center"/>
          </w:tcPr>
          <w:p w14:paraId="31D02D65">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监控点处1h平均浓度值</w:t>
            </w:r>
          </w:p>
        </w:tc>
        <w:tc>
          <w:tcPr>
            <w:tcW w:w="752" w:type="pct"/>
            <w:tcBorders>
              <w:tl2br w:val="nil"/>
              <w:tr2bl w:val="nil"/>
            </w:tcBorders>
            <w:noWrap w:val="0"/>
            <w:vAlign w:val="center"/>
          </w:tcPr>
          <w:p w14:paraId="29AB368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非甲烷总烃</w:t>
            </w:r>
          </w:p>
        </w:tc>
        <w:tc>
          <w:tcPr>
            <w:tcW w:w="947" w:type="pct"/>
            <w:tcBorders>
              <w:tl2br w:val="nil"/>
              <w:tr2bl w:val="nil"/>
            </w:tcBorders>
            <w:noWrap w:val="0"/>
            <w:vAlign w:val="center"/>
          </w:tcPr>
          <w:p w14:paraId="042E2AB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705" w:type="pct"/>
            <w:tcBorders>
              <w:tl2br w:val="nil"/>
              <w:tr2bl w:val="nil"/>
            </w:tcBorders>
            <w:noWrap w:val="0"/>
            <w:vAlign w:val="center"/>
          </w:tcPr>
          <w:p w14:paraId="40F0C965">
            <w:pPr>
              <w:pStyle w:val="87"/>
              <w:snapToGrid/>
              <w:spacing w:line="240" w:lineRule="auto"/>
              <w:ind w:left="0" w:leftChars="0" w:firstLine="0" w:firstLineChars="0"/>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rPr>
              <w:t>DB35/1784-2018《印刷行业挥发性有机物排放标准》中表2排放限值</w:t>
            </w:r>
          </w:p>
        </w:tc>
      </w:tr>
      <w:tr w14:paraId="40D5C03E">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vMerge w:val="continue"/>
            <w:tcBorders>
              <w:tl2br w:val="nil"/>
              <w:tr2bl w:val="nil"/>
            </w:tcBorders>
            <w:noWrap w:val="0"/>
            <w:vAlign w:val="center"/>
          </w:tcPr>
          <w:p w14:paraId="5CEF41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408" w:type="pct"/>
            <w:vMerge w:val="continue"/>
            <w:tcBorders>
              <w:tl2br w:val="nil"/>
              <w:tr2bl w:val="nil"/>
            </w:tcBorders>
            <w:noWrap w:val="0"/>
            <w:vAlign w:val="center"/>
          </w:tcPr>
          <w:p w14:paraId="1172B8E9">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09" w:type="pct"/>
            <w:tcBorders>
              <w:tl2br w:val="nil"/>
              <w:tr2bl w:val="nil"/>
            </w:tcBorders>
            <w:noWrap w:val="0"/>
            <w:vAlign w:val="center"/>
          </w:tcPr>
          <w:p w14:paraId="169C0CBF">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监控点处任意一次浓度值</w:t>
            </w:r>
          </w:p>
        </w:tc>
        <w:tc>
          <w:tcPr>
            <w:tcW w:w="752" w:type="pct"/>
            <w:tcBorders>
              <w:tl2br w:val="nil"/>
              <w:tr2bl w:val="nil"/>
            </w:tcBorders>
            <w:noWrap w:val="0"/>
            <w:vAlign w:val="center"/>
          </w:tcPr>
          <w:p w14:paraId="6443590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非甲烷总烃</w:t>
            </w:r>
          </w:p>
        </w:tc>
        <w:tc>
          <w:tcPr>
            <w:tcW w:w="947" w:type="pct"/>
            <w:tcBorders>
              <w:tl2br w:val="nil"/>
              <w:tr2bl w:val="nil"/>
            </w:tcBorders>
            <w:noWrap w:val="0"/>
            <w:vAlign w:val="center"/>
          </w:tcPr>
          <w:p w14:paraId="4D36844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705" w:type="pct"/>
            <w:tcBorders>
              <w:tl2br w:val="nil"/>
              <w:tr2bl w:val="nil"/>
            </w:tcBorders>
            <w:noWrap w:val="0"/>
            <w:vAlign w:val="center"/>
          </w:tcPr>
          <w:p w14:paraId="053A00C4">
            <w:pPr>
              <w:pStyle w:val="87"/>
              <w:snapToGrid/>
              <w:spacing w:line="240" w:lineRule="auto"/>
              <w:ind w:left="0" w:firstLine="0" w:firstLineChars="0"/>
              <w:rPr>
                <w:rFonts w:hint="eastAsia" w:ascii="Times New Roman" w:hAnsi="Times New Roman" w:eastAsia="宋体" w:cs="Times New Roman"/>
                <w:bCs/>
                <w:color w:val="000000"/>
                <w:kern w:val="2"/>
                <w:sz w:val="21"/>
                <w:szCs w:val="21"/>
                <w:highlight w:val="none"/>
                <w:lang w:val="en-US" w:eastAsia="zh-CN"/>
              </w:rPr>
            </w:pPr>
            <w:r>
              <w:rPr>
                <w:rFonts w:hint="eastAsia" w:ascii="Times New Roman" w:hAnsi="Times New Roman" w:eastAsia="宋体" w:cs="Times New Roman"/>
                <w:bCs/>
                <w:color w:val="000000"/>
                <w:kern w:val="2"/>
                <w:sz w:val="21"/>
                <w:szCs w:val="21"/>
                <w:highlight w:val="none"/>
                <w:lang w:val="en-US" w:eastAsia="zh-CN"/>
              </w:rPr>
              <w:t>GB37822-2019《挥发性有机物无组织排放控制标准》</w:t>
            </w:r>
          </w:p>
        </w:tc>
      </w:tr>
      <w:tr w14:paraId="6D1E0AD5">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tcBorders>
              <w:tl2br w:val="nil"/>
              <w:tr2bl w:val="nil"/>
            </w:tcBorders>
            <w:noWrap w:val="0"/>
            <w:vAlign w:val="center"/>
          </w:tcPr>
          <w:p w14:paraId="1DBAF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地表水环境</w:t>
            </w:r>
          </w:p>
        </w:tc>
        <w:tc>
          <w:tcPr>
            <w:tcW w:w="818" w:type="pct"/>
            <w:gridSpan w:val="2"/>
            <w:tcBorders>
              <w:tl2br w:val="nil"/>
              <w:tr2bl w:val="nil"/>
            </w:tcBorders>
            <w:noWrap w:val="0"/>
            <w:vAlign w:val="center"/>
          </w:tcPr>
          <w:p w14:paraId="17A72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综合废水</w:t>
            </w:r>
            <w:r>
              <w:rPr>
                <w:rFonts w:hint="eastAsia" w:ascii="Times New Roman" w:hAnsi="Times New Roman" w:eastAsia="宋体" w:cs="Times New Roman"/>
                <w:sz w:val="21"/>
                <w:szCs w:val="21"/>
                <w:highlight w:val="none"/>
                <w:lang w:val="en-US" w:eastAsia="zh-CN"/>
              </w:rPr>
              <w:t>排放口（</w:t>
            </w:r>
            <w:r>
              <w:rPr>
                <w:rFonts w:hint="default" w:ascii="Times New Roman" w:hAnsi="Times New Roman" w:eastAsia="宋体" w:cs="Times New Roman"/>
                <w:sz w:val="21"/>
                <w:szCs w:val="21"/>
                <w:highlight w:val="none"/>
                <w:lang w:val="en-US" w:eastAsia="zh-CN"/>
              </w:rPr>
              <w:t>DW001</w:t>
            </w:r>
            <w:r>
              <w:rPr>
                <w:rFonts w:hint="eastAsia" w:ascii="Times New Roman" w:hAnsi="Times New Roman" w:eastAsia="宋体" w:cs="Times New Roman"/>
                <w:sz w:val="21"/>
                <w:szCs w:val="21"/>
                <w:highlight w:val="none"/>
                <w:lang w:val="en-US" w:eastAsia="zh-CN"/>
              </w:rPr>
              <w:t>）</w:t>
            </w:r>
          </w:p>
        </w:tc>
        <w:tc>
          <w:tcPr>
            <w:tcW w:w="752" w:type="pct"/>
            <w:tcBorders>
              <w:tl2br w:val="nil"/>
              <w:tr2bl w:val="nil"/>
            </w:tcBorders>
            <w:noWrap w:val="0"/>
            <w:vAlign w:val="center"/>
          </w:tcPr>
          <w:p w14:paraId="1BEBF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pH、COD、BOD</w:t>
            </w:r>
            <w:r>
              <w:rPr>
                <w:rFonts w:hint="eastAsia" w:ascii="Times New Roman" w:hAnsi="Times New Roman" w:eastAsia="宋体" w:cs="Times New Roman"/>
                <w:sz w:val="21"/>
                <w:szCs w:val="21"/>
                <w:highlight w:val="none"/>
                <w:vertAlign w:val="subscript"/>
                <w:lang w:val="en-US" w:eastAsia="zh-CN"/>
              </w:rPr>
              <w:t>5</w:t>
            </w:r>
            <w:r>
              <w:rPr>
                <w:rFonts w:hint="eastAsia" w:ascii="Times New Roman" w:hAnsi="Times New Roman" w:eastAsia="宋体" w:cs="Times New Roman"/>
                <w:sz w:val="21"/>
                <w:szCs w:val="21"/>
                <w:highlight w:val="none"/>
                <w:lang w:val="en-US" w:eastAsia="zh-CN"/>
              </w:rPr>
              <w:t>、SS、氨氮、色度</w:t>
            </w:r>
          </w:p>
        </w:tc>
        <w:tc>
          <w:tcPr>
            <w:tcW w:w="947" w:type="pct"/>
            <w:tcBorders>
              <w:tl2br w:val="nil"/>
              <w:tr2bl w:val="nil"/>
            </w:tcBorders>
            <w:noWrap w:val="0"/>
            <w:vAlign w:val="center"/>
          </w:tcPr>
          <w:p w14:paraId="4B770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生产废水经废水处理设施处理后与经化粪池处理后的生活污水一经市政管网排入晋江仙石污水处理厂</w:t>
            </w:r>
          </w:p>
        </w:tc>
        <w:tc>
          <w:tcPr>
            <w:tcW w:w="1705" w:type="pct"/>
            <w:tcBorders>
              <w:tl2br w:val="nil"/>
              <w:tr2bl w:val="nil"/>
            </w:tcBorders>
            <w:noWrap w:val="0"/>
            <w:vAlign w:val="center"/>
          </w:tcPr>
          <w:p w14:paraId="00A80F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spacing w:val="2"/>
                <w:sz w:val="21"/>
                <w:szCs w:val="21"/>
                <w:highlight w:val="none"/>
              </w:rPr>
              <w:t>GB8978-1996《污水综合排放标准》表4三级标准</w:t>
            </w:r>
            <w:r>
              <w:rPr>
                <w:rFonts w:hint="eastAsia" w:ascii="Times New Roman" w:hAnsi="Times New Roman" w:eastAsia="宋体" w:cs="Times New Roman"/>
                <w:color w:val="000000"/>
                <w:spacing w:val="2"/>
                <w:sz w:val="21"/>
                <w:szCs w:val="21"/>
                <w:highlight w:val="none"/>
                <w:lang w:eastAsia="zh-CN"/>
              </w:rPr>
              <w:t>；</w:t>
            </w:r>
            <w:r>
              <w:rPr>
                <w:rFonts w:hint="eastAsia" w:ascii="Times New Roman" w:hAnsi="Times New Roman" w:eastAsia="宋体" w:cs="Times New Roman"/>
                <w:color w:val="000000"/>
                <w:spacing w:val="2"/>
                <w:sz w:val="21"/>
                <w:szCs w:val="21"/>
                <w:highlight w:val="none"/>
                <w:lang w:val="en-US" w:eastAsia="zh-CN"/>
              </w:rPr>
              <w:t>GB/T31962-2015</w:t>
            </w:r>
            <w:r>
              <w:rPr>
                <w:rFonts w:hint="eastAsia" w:ascii="Times New Roman" w:hAnsi="Times New Roman" w:eastAsia="宋体" w:cs="Times New Roman"/>
                <w:color w:val="000000"/>
                <w:spacing w:val="2"/>
                <w:sz w:val="21"/>
                <w:szCs w:val="21"/>
                <w:highlight w:val="none"/>
                <w:lang w:eastAsia="zh-CN"/>
              </w:rPr>
              <w:t>《污水排入城镇下水道水质标准》。</w:t>
            </w:r>
          </w:p>
        </w:tc>
      </w:tr>
      <w:tr w14:paraId="258064A7">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tcBorders>
              <w:tl2br w:val="nil"/>
              <w:tr2bl w:val="nil"/>
            </w:tcBorders>
            <w:noWrap w:val="0"/>
            <w:vAlign w:val="center"/>
          </w:tcPr>
          <w:p w14:paraId="003E83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声环境</w:t>
            </w:r>
          </w:p>
        </w:tc>
        <w:tc>
          <w:tcPr>
            <w:tcW w:w="818" w:type="pct"/>
            <w:gridSpan w:val="2"/>
            <w:tcBorders>
              <w:tl2br w:val="nil"/>
              <w:tr2bl w:val="nil"/>
            </w:tcBorders>
            <w:noWrap w:val="0"/>
            <w:vAlign w:val="center"/>
          </w:tcPr>
          <w:p w14:paraId="100B68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厂界</w:t>
            </w:r>
          </w:p>
        </w:tc>
        <w:tc>
          <w:tcPr>
            <w:tcW w:w="752" w:type="pct"/>
            <w:tcBorders>
              <w:tl2br w:val="nil"/>
              <w:tr2bl w:val="nil"/>
            </w:tcBorders>
            <w:noWrap w:val="0"/>
            <w:vAlign w:val="center"/>
          </w:tcPr>
          <w:p w14:paraId="5BA22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kern w:val="0"/>
                <w:sz w:val="21"/>
                <w:szCs w:val="21"/>
                <w:highlight w:val="none"/>
                <w:lang w:eastAsia="zh-CN"/>
              </w:rPr>
              <w:t>等效</w:t>
            </w:r>
            <w:r>
              <w:rPr>
                <w:rFonts w:hint="default" w:ascii="Times New Roman" w:hAnsi="Times New Roman" w:eastAsia="宋体" w:cs="Times New Roman"/>
                <w:color w:val="000000"/>
                <w:kern w:val="0"/>
                <w:sz w:val="21"/>
                <w:szCs w:val="21"/>
                <w:highlight w:val="none"/>
                <w:lang w:val="en-US" w:eastAsia="zh-CN"/>
              </w:rPr>
              <w:t>A声级</w:t>
            </w:r>
          </w:p>
        </w:tc>
        <w:tc>
          <w:tcPr>
            <w:tcW w:w="947" w:type="pct"/>
            <w:tcBorders>
              <w:tl2br w:val="nil"/>
              <w:tr2bl w:val="nil"/>
            </w:tcBorders>
            <w:noWrap w:val="0"/>
            <w:vAlign w:val="center"/>
          </w:tcPr>
          <w:p w14:paraId="75A4BD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sz w:val="21"/>
                <w:szCs w:val="21"/>
                <w:highlight w:val="none"/>
              </w:rPr>
              <w:t>采取相应的隔声等措施</w:t>
            </w:r>
          </w:p>
        </w:tc>
        <w:tc>
          <w:tcPr>
            <w:tcW w:w="1705" w:type="pct"/>
            <w:tcBorders>
              <w:tl2br w:val="nil"/>
              <w:tr2bl w:val="nil"/>
            </w:tcBorders>
            <w:noWrap w:val="0"/>
            <w:vAlign w:val="center"/>
          </w:tcPr>
          <w:p w14:paraId="10A2E0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GB12348-2008</w:t>
            </w:r>
            <w:r>
              <w:rPr>
                <w:rFonts w:hint="default" w:ascii="Times New Roman" w:hAnsi="Times New Roman" w:eastAsia="宋体" w:cs="Times New Roman"/>
                <w:color w:val="000000"/>
                <w:kern w:val="0"/>
                <w:sz w:val="21"/>
                <w:szCs w:val="21"/>
                <w:highlight w:val="none"/>
              </w:rPr>
              <w:t>《工业企业厂界环境噪声排放标准》</w:t>
            </w:r>
            <w:r>
              <w:rPr>
                <w:rFonts w:hint="eastAsia" w:ascii="Times New Roman" w:hAnsi="Times New Roman" w:eastAsia="宋体" w:cs="Times New Roman"/>
                <w:color w:val="000000"/>
                <w:kern w:val="0"/>
                <w:sz w:val="21"/>
                <w:szCs w:val="21"/>
                <w:highlight w:val="none"/>
                <w:lang w:val="en-US" w:eastAsia="zh-CN"/>
              </w:rPr>
              <w:t>3</w:t>
            </w:r>
            <w:r>
              <w:rPr>
                <w:rFonts w:hint="default" w:ascii="Times New Roman" w:hAnsi="Times New Roman" w:eastAsia="宋体" w:cs="Times New Roman"/>
                <w:color w:val="000000"/>
                <w:kern w:val="0"/>
                <w:sz w:val="21"/>
                <w:szCs w:val="21"/>
                <w:highlight w:val="none"/>
              </w:rPr>
              <w:t>类标准</w:t>
            </w:r>
            <w:r>
              <w:rPr>
                <w:rFonts w:hint="eastAsia" w:ascii="Times New Roman" w:hAnsi="Times New Roman" w:eastAsia="宋体" w:cs="Times New Roman"/>
                <w:color w:val="000000"/>
                <w:kern w:val="0"/>
                <w:sz w:val="21"/>
                <w:szCs w:val="21"/>
                <w:highlight w:val="none"/>
                <w:lang w:eastAsia="zh-CN"/>
              </w:rPr>
              <w:t>。</w:t>
            </w:r>
          </w:p>
        </w:tc>
      </w:tr>
      <w:tr w14:paraId="7C9584CE">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tcBorders>
              <w:tl2br w:val="nil"/>
              <w:tr2bl w:val="nil"/>
            </w:tcBorders>
            <w:noWrap w:val="0"/>
            <w:vAlign w:val="center"/>
          </w:tcPr>
          <w:p w14:paraId="1A104A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电磁辐射</w:t>
            </w:r>
          </w:p>
        </w:tc>
        <w:tc>
          <w:tcPr>
            <w:tcW w:w="818" w:type="pct"/>
            <w:gridSpan w:val="2"/>
            <w:tcBorders>
              <w:tl2br w:val="nil"/>
              <w:tr2bl w:val="nil"/>
            </w:tcBorders>
            <w:noWrap w:val="0"/>
            <w:vAlign w:val="center"/>
          </w:tcPr>
          <w:p w14:paraId="69BFE6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752" w:type="pct"/>
            <w:tcBorders>
              <w:tl2br w:val="nil"/>
              <w:tr2bl w:val="nil"/>
            </w:tcBorders>
            <w:noWrap w:val="0"/>
            <w:vAlign w:val="center"/>
          </w:tcPr>
          <w:p w14:paraId="68E14F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w:t>
            </w:r>
          </w:p>
        </w:tc>
        <w:tc>
          <w:tcPr>
            <w:tcW w:w="947" w:type="pct"/>
            <w:tcBorders>
              <w:tl2br w:val="nil"/>
              <w:tr2bl w:val="nil"/>
            </w:tcBorders>
            <w:noWrap w:val="0"/>
            <w:vAlign w:val="center"/>
          </w:tcPr>
          <w:p w14:paraId="596B4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w:t>
            </w:r>
          </w:p>
        </w:tc>
        <w:tc>
          <w:tcPr>
            <w:tcW w:w="1705" w:type="pct"/>
            <w:tcBorders>
              <w:tl2br w:val="nil"/>
              <w:tr2bl w:val="nil"/>
            </w:tcBorders>
            <w:noWrap w:val="0"/>
            <w:vAlign w:val="center"/>
          </w:tcPr>
          <w:p w14:paraId="47BB2E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w:t>
            </w:r>
          </w:p>
        </w:tc>
      </w:tr>
      <w:tr w14:paraId="226CF51A">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92" w:hRule="atLeast"/>
          <w:jc w:val="center"/>
        </w:trPr>
        <w:tc>
          <w:tcPr>
            <w:tcW w:w="775" w:type="pct"/>
            <w:tcBorders>
              <w:tl2br w:val="nil"/>
              <w:tr2bl w:val="nil"/>
            </w:tcBorders>
            <w:noWrap w:val="0"/>
            <w:vAlign w:val="center"/>
          </w:tcPr>
          <w:p w14:paraId="723075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固体废物</w:t>
            </w:r>
          </w:p>
        </w:tc>
        <w:tc>
          <w:tcPr>
            <w:tcW w:w="4224" w:type="pct"/>
            <w:gridSpan w:val="5"/>
            <w:tcBorders>
              <w:tl2br w:val="nil"/>
              <w:tr2bl w:val="nil"/>
            </w:tcBorders>
            <w:noWrap w:val="0"/>
            <w:vAlign w:val="center"/>
          </w:tcPr>
          <w:p w14:paraId="6AC720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①</w:t>
            </w:r>
            <w:r>
              <w:rPr>
                <w:rFonts w:hint="eastAsia" w:ascii="Times New Roman" w:hAnsi="Times New Roman" w:eastAsia="宋体" w:cs="Times New Roman"/>
                <w:color w:val="000000"/>
                <w:kern w:val="0"/>
                <w:sz w:val="21"/>
                <w:szCs w:val="21"/>
                <w:highlight w:val="none"/>
                <w:lang w:val="en-US" w:eastAsia="zh-CN" w:bidi="ar-SA"/>
              </w:rPr>
              <w:t>废次品</w:t>
            </w:r>
            <w:r>
              <w:rPr>
                <w:rFonts w:hint="default" w:ascii="Times New Roman" w:hAnsi="Times New Roman" w:eastAsia="宋体" w:cs="Times New Roman"/>
                <w:color w:val="000000"/>
                <w:kern w:val="0"/>
                <w:sz w:val="21"/>
                <w:szCs w:val="21"/>
                <w:highlight w:val="none"/>
                <w:lang w:val="en-US" w:eastAsia="zh-CN" w:bidi="ar-SA"/>
              </w:rPr>
              <w:t>由相关厂家回收；</w:t>
            </w:r>
          </w:p>
          <w:p w14:paraId="7F7CC8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②</w:t>
            </w:r>
            <w:r>
              <w:rPr>
                <w:rFonts w:hint="eastAsia" w:ascii="Times New Roman" w:hAnsi="Times New Roman" w:eastAsia="宋体" w:cs="Times New Roman"/>
                <w:color w:val="000000"/>
                <w:kern w:val="0"/>
                <w:sz w:val="21"/>
                <w:szCs w:val="21"/>
                <w:highlight w:val="none"/>
                <w:lang w:val="en-US" w:eastAsia="zh-CN" w:bidi="ar-SA"/>
              </w:rPr>
              <w:t>生活垃圾由环卫部门定期清运，处置；</w:t>
            </w:r>
          </w:p>
          <w:p w14:paraId="4AE4F5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③原料空桶由厂家回收利用；</w:t>
            </w:r>
          </w:p>
          <w:p w14:paraId="1E601CB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color w:val="000000"/>
                <w:kern w:val="0"/>
                <w:sz w:val="21"/>
                <w:szCs w:val="21"/>
                <w:highlight w:val="none"/>
                <w:lang w:val="en-US" w:eastAsia="zh-CN" w:bidi="ar-SA"/>
              </w:rPr>
              <w:t>④废菲林片、废丝印版框、废活性炭、沉淀污泥</w:t>
            </w:r>
            <w:r>
              <w:rPr>
                <w:rFonts w:hint="eastAsia" w:cs="Times New Roman"/>
                <w:color w:val="000000"/>
                <w:kern w:val="0"/>
                <w:sz w:val="21"/>
                <w:szCs w:val="21"/>
                <w:highlight w:val="none"/>
                <w:lang w:val="en-US" w:eastAsia="zh-CN" w:bidi="ar-SA"/>
              </w:rPr>
              <w:t>、破损、变形的原料空桶</w:t>
            </w:r>
            <w:r>
              <w:rPr>
                <w:rFonts w:hint="eastAsia" w:ascii="Times New Roman" w:hAnsi="Times New Roman" w:eastAsia="宋体" w:cs="Times New Roman"/>
                <w:color w:val="000000"/>
                <w:kern w:val="0"/>
                <w:sz w:val="21"/>
                <w:szCs w:val="21"/>
                <w:highlight w:val="none"/>
                <w:lang w:val="en-US" w:eastAsia="zh-CN" w:bidi="ar-SA"/>
              </w:rPr>
              <w:t>定期由有危废处置资质单位处置。</w:t>
            </w:r>
          </w:p>
        </w:tc>
      </w:tr>
      <w:tr w14:paraId="7C9B7EBC">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71" w:hRule="atLeast"/>
          <w:jc w:val="center"/>
        </w:trPr>
        <w:tc>
          <w:tcPr>
            <w:tcW w:w="775" w:type="pct"/>
            <w:tcBorders>
              <w:tl2br w:val="nil"/>
              <w:tr2bl w:val="nil"/>
            </w:tcBorders>
            <w:noWrap w:val="0"/>
            <w:vAlign w:val="center"/>
          </w:tcPr>
          <w:p w14:paraId="32241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土壤及地下水污染防治措施</w:t>
            </w:r>
          </w:p>
        </w:tc>
        <w:tc>
          <w:tcPr>
            <w:tcW w:w="4224" w:type="pct"/>
            <w:gridSpan w:val="5"/>
            <w:tcBorders>
              <w:tl2br w:val="nil"/>
              <w:tr2bl w:val="nil"/>
            </w:tcBorders>
            <w:noWrap w:val="0"/>
            <w:vAlign w:val="center"/>
          </w:tcPr>
          <w:p w14:paraId="4A3935AC">
            <w:pPr>
              <w:keepLines w:val="0"/>
              <w:pageBreakBefore w:val="0"/>
              <w:kinsoku/>
              <w:wordWrap/>
              <w:topLinePunct w:val="0"/>
              <w:autoSpaceDN/>
              <w:bidi w:val="0"/>
              <w:spacing w:line="240" w:lineRule="auto"/>
              <w:ind w:firstLine="0" w:firstLineChars="0"/>
              <w:jc w:val="both"/>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项目生产车间及一般固废暂存区</w:t>
            </w:r>
            <w:r>
              <w:rPr>
                <w:rFonts w:hint="eastAsia" w:ascii="Times New Roman" w:hAnsi="Times New Roman" w:cs="Times New Roman"/>
                <w:sz w:val="21"/>
                <w:szCs w:val="21"/>
                <w:highlight w:val="none"/>
                <w:lang w:eastAsia="zh-CN"/>
              </w:rPr>
              <w:t>、危废间</w:t>
            </w:r>
            <w:r>
              <w:rPr>
                <w:rFonts w:hint="default" w:ascii="Times New Roman" w:hAnsi="Times New Roman" w:cs="Times New Roman"/>
                <w:sz w:val="21"/>
                <w:szCs w:val="21"/>
                <w:highlight w:val="none"/>
                <w:lang w:eastAsia="zh-CN"/>
              </w:rPr>
              <w:t>地面均</w:t>
            </w:r>
            <w:r>
              <w:rPr>
                <w:rFonts w:hint="eastAsia" w:ascii="Times New Roman" w:hAnsi="Times New Roman" w:cs="Times New Roman"/>
                <w:sz w:val="21"/>
                <w:szCs w:val="21"/>
                <w:highlight w:val="none"/>
                <w:lang w:eastAsia="zh-CN"/>
              </w:rPr>
              <w:t>做好防渗措施</w:t>
            </w:r>
            <w:r>
              <w:rPr>
                <w:rFonts w:hint="default" w:ascii="Times New Roman" w:hAnsi="Times New Roman" w:cs="Times New Roman"/>
                <w:sz w:val="21"/>
                <w:szCs w:val="21"/>
                <w:highlight w:val="none"/>
                <w:lang w:eastAsia="zh-CN"/>
              </w:rPr>
              <w:t>。</w:t>
            </w:r>
          </w:p>
        </w:tc>
      </w:tr>
      <w:tr w14:paraId="3686FF92">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0" w:hRule="atLeast"/>
          <w:jc w:val="center"/>
        </w:trPr>
        <w:tc>
          <w:tcPr>
            <w:tcW w:w="775" w:type="pct"/>
            <w:tcBorders>
              <w:tl2br w:val="nil"/>
              <w:tr2bl w:val="nil"/>
            </w:tcBorders>
            <w:noWrap w:val="0"/>
            <w:vAlign w:val="center"/>
          </w:tcPr>
          <w:p w14:paraId="2218C5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生态保护措施</w:t>
            </w:r>
          </w:p>
        </w:tc>
        <w:tc>
          <w:tcPr>
            <w:tcW w:w="4224" w:type="pct"/>
            <w:gridSpan w:val="5"/>
            <w:tcBorders>
              <w:tl2br w:val="nil"/>
              <w:tr2bl w:val="nil"/>
            </w:tcBorders>
            <w:noWrap w:val="0"/>
            <w:vAlign w:val="center"/>
          </w:tcPr>
          <w:p w14:paraId="495D4D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5875330D">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tcBorders>
              <w:tl2br w:val="nil"/>
              <w:tr2bl w:val="nil"/>
            </w:tcBorders>
            <w:noWrap w:val="0"/>
            <w:vAlign w:val="center"/>
          </w:tcPr>
          <w:p w14:paraId="1927C0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8"/>
                <w:sz w:val="21"/>
                <w:szCs w:val="21"/>
                <w:highlight w:val="none"/>
              </w:rPr>
            </w:pPr>
            <w:r>
              <w:rPr>
                <w:rFonts w:hint="default" w:ascii="Times New Roman" w:hAnsi="Times New Roman" w:eastAsia="宋体" w:cs="Times New Roman"/>
                <w:spacing w:val="-8"/>
                <w:sz w:val="21"/>
                <w:szCs w:val="21"/>
                <w:highlight w:val="none"/>
              </w:rPr>
              <w:t>环境风险</w:t>
            </w:r>
          </w:p>
          <w:p w14:paraId="261256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8"/>
                <w:sz w:val="21"/>
                <w:szCs w:val="21"/>
                <w:highlight w:val="none"/>
              </w:rPr>
            </w:pPr>
            <w:r>
              <w:rPr>
                <w:rFonts w:hint="default" w:ascii="Times New Roman" w:hAnsi="Times New Roman" w:eastAsia="宋体" w:cs="Times New Roman"/>
                <w:spacing w:val="-8"/>
                <w:sz w:val="21"/>
                <w:szCs w:val="21"/>
                <w:highlight w:val="none"/>
              </w:rPr>
              <w:t>防范措施</w:t>
            </w:r>
          </w:p>
        </w:tc>
        <w:tc>
          <w:tcPr>
            <w:tcW w:w="4224" w:type="pct"/>
            <w:gridSpan w:val="5"/>
            <w:tcBorders>
              <w:tl2br w:val="nil"/>
              <w:tr2bl w:val="nil"/>
            </w:tcBorders>
            <w:noWrap w:val="0"/>
            <w:vAlign w:val="center"/>
          </w:tcPr>
          <w:p w14:paraId="24771A80">
            <w:pPr>
              <w:autoSpaceDE w:val="0"/>
              <w:adjustRightInd w:val="0"/>
              <w:snapToGrid w:val="0"/>
              <w:spacing w:line="240" w:lineRule="auto"/>
              <w:ind w:firstLine="0" w:firstLineChars="0"/>
              <w:rPr>
                <w:rFonts w:hint="default"/>
                <w:highlight w:val="none"/>
              </w:rPr>
            </w:pPr>
            <w:r>
              <w:rPr>
                <w:rFonts w:hint="default"/>
                <w:highlight w:val="none"/>
              </w:rPr>
              <w:t>1）</w:t>
            </w:r>
            <w:r>
              <w:rPr>
                <w:rFonts w:hint="eastAsia"/>
                <w:highlight w:val="none"/>
                <w:lang w:eastAsia="zh-CN"/>
              </w:rPr>
              <w:t>项目涉及环境风险的物料</w:t>
            </w:r>
            <w:r>
              <w:rPr>
                <w:rFonts w:hint="default"/>
                <w:highlight w:val="none"/>
              </w:rPr>
              <w:t>存储容器密闭包装，无滴漏，入库时，有完整、准确、清晰的产品包装标志、检验合格证和说明书。</w:t>
            </w:r>
          </w:p>
          <w:p w14:paraId="49850F8D">
            <w:pPr>
              <w:autoSpaceDE w:val="0"/>
              <w:adjustRightInd w:val="0"/>
              <w:snapToGrid w:val="0"/>
              <w:spacing w:line="240" w:lineRule="auto"/>
              <w:ind w:firstLine="0" w:firstLineChars="0"/>
              <w:rPr>
                <w:rFonts w:hint="default"/>
                <w:highlight w:val="none"/>
              </w:rPr>
            </w:pPr>
            <w:r>
              <w:rPr>
                <w:rFonts w:hint="default"/>
                <w:highlight w:val="none"/>
              </w:rPr>
              <w:t>2）桶装原料的包装桶应设置托盘存放。</w:t>
            </w:r>
          </w:p>
          <w:p w14:paraId="4EAC3340">
            <w:pPr>
              <w:autoSpaceDE w:val="0"/>
              <w:adjustRightInd w:val="0"/>
              <w:snapToGrid w:val="0"/>
              <w:spacing w:line="240" w:lineRule="auto"/>
              <w:ind w:firstLine="0" w:firstLineChars="0"/>
              <w:rPr>
                <w:rFonts w:hint="default"/>
                <w:highlight w:val="none"/>
              </w:rPr>
            </w:pPr>
            <w:r>
              <w:rPr>
                <w:rFonts w:hint="default"/>
                <w:highlight w:val="none"/>
              </w:rPr>
              <w:t>3）制定安全生产责任制度和管理制度，明确规定员工上岗前的培训要求，上岗前的安全准备措施和工作中的安全要求。</w:t>
            </w:r>
          </w:p>
          <w:p w14:paraId="1B61584A">
            <w:pPr>
              <w:autoSpaceDE w:val="0"/>
              <w:adjustRightInd w:val="0"/>
              <w:snapToGrid w:val="0"/>
              <w:spacing w:line="240" w:lineRule="auto"/>
              <w:ind w:firstLine="0" w:firstLineChars="0"/>
              <w:rPr>
                <w:rFonts w:hint="eastAsia"/>
                <w:highlight w:val="none"/>
                <w:lang w:val="en-US" w:eastAsia="zh-CN"/>
              </w:rPr>
            </w:pPr>
            <w:r>
              <w:rPr>
                <w:rFonts w:hint="default"/>
                <w:highlight w:val="none"/>
              </w:rPr>
              <w:t>4）</w:t>
            </w:r>
            <w:r>
              <w:rPr>
                <w:rFonts w:hint="eastAsia"/>
                <w:highlight w:val="none"/>
                <w:lang w:val="en-US" w:eastAsia="zh-CN"/>
              </w:rPr>
              <w:t>若发生物料泄漏时，应及时处置，更换贮存容器；</w:t>
            </w:r>
          </w:p>
          <w:p w14:paraId="713AE88F">
            <w:pPr>
              <w:autoSpaceDE w:val="0"/>
              <w:adjustRightInd w:val="0"/>
              <w:snapToGrid w:val="0"/>
              <w:spacing w:line="240" w:lineRule="auto"/>
              <w:ind w:firstLine="0" w:firstLineChars="0"/>
              <w:rPr>
                <w:rFonts w:hint="default"/>
                <w:highlight w:val="none"/>
              </w:rPr>
            </w:pPr>
            <w:r>
              <w:rPr>
                <w:rFonts w:hint="eastAsia"/>
                <w:highlight w:val="none"/>
                <w:lang w:val="en-US" w:eastAsia="zh-CN"/>
              </w:rPr>
              <w:t>5）</w:t>
            </w:r>
            <w:r>
              <w:rPr>
                <w:rFonts w:hint="default"/>
                <w:highlight w:val="none"/>
              </w:rPr>
              <w:t>加强安全管理，由专人负责，在各车间和仓库并在存放点配备相应品种和数量的消防器材（干粉灭火器）及泄漏应急处理设备，仓库应备有泄漏应急处理设备和合适的收容材料。</w:t>
            </w:r>
          </w:p>
          <w:p w14:paraId="1624004B">
            <w:pPr>
              <w:autoSpaceDE w:val="0"/>
              <w:adjustRightInd w:val="0"/>
              <w:snapToGrid w:val="0"/>
              <w:spacing w:line="240" w:lineRule="auto"/>
              <w:ind w:firstLine="0" w:firstLineChars="0"/>
              <w:rPr>
                <w:rFonts w:hint="default"/>
                <w:highlight w:val="none"/>
              </w:rPr>
            </w:pPr>
            <w:r>
              <w:rPr>
                <w:rFonts w:hint="eastAsia"/>
                <w:highlight w:val="none"/>
                <w:lang w:val="en-US" w:eastAsia="zh-CN"/>
              </w:rPr>
              <w:t>6</w:t>
            </w:r>
            <w:r>
              <w:rPr>
                <w:rFonts w:hint="default"/>
                <w:highlight w:val="none"/>
              </w:rPr>
              <w:t>）生产区和仓库区内禁止明火、设置严禁烟火的标识。</w:t>
            </w:r>
          </w:p>
          <w:p w14:paraId="048F77ED">
            <w:pPr>
              <w:autoSpaceDE w:val="0"/>
              <w:adjustRightInd w:val="0"/>
              <w:snapToGrid w:val="0"/>
              <w:spacing w:line="240" w:lineRule="auto"/>
              <w:ind w:firstLine="0" w:firstLineChars="0"/>
              <w:rPr>
                <w:rFonts w:hint="default"/>
                <w:highlight w:val="none"/>
              </w:rPr>
            </w:pPr>
            <w:r>
              <w:rPr>
                <w:rFonts w:hint="eastAsia"/>
                <w:highlight w:val="none"/>
                <w:lang w:val="en-US" w:eastAsia="zh-CN"/>
              </w:rPr>
              <w:t>7</w:t>
            </w:r>
            <w:r>
              <w:rPr>
                <w:rFonts w:hint="default"/>
                <w:highlight w:val="none"/>
              </w:rPr>
              <w:t>）生产单元、仓库内应设火灾报警信号系统，一旦发生明火，立即启动报警装置。</w:t>
            </w:r>
          </w:p>
          <w:p w14:paraId="554A9A95">
            <w:pPr>
              <w:autoSpaceDE w:val="0"/>
              <w:adjustRightInd w:val="0"/>
              <w:rPr>
                <w:rFonts w:hint="default"/>
                <w:highlight w:val="none"/>
                <w:lang w:val="en-US" w:eastAsia="zh-CN"/>
              </w:rPr>
            </w:pPr>
            <w:r>
              <w:rPr>
                <w:rFonts w:hint="eastAsia"/>
                <w:highlight w:val="none"/>
                <w:lang w:val="en-US" w:eastAsia="zh-CN"/>
              </w:rPr>
              <w:t>8）</w:t>
            </w:r>
            <w:r>
              <w:rPr>
                <w:rFonts w:hint="eastAsia"/>
                <w:highlight w:val="none"/>
                <w:lang w:eastAsia="zh-CN"/>
              </w:rPr>
              <w:t>危险废物暂存应要求做好防渗措施，由专人定期巡视。</w:t>
            </w:r>
          </w:p>
        </w:tc>
      </w:tr>
      <w:tr w14:paraId="219F99DD">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5" w:type="pct"/>
            <w:tcBorders>
              <w:tl2br w:val="nil"/>
              <w:tr2bl w:val="nil"/>
            </w:tcBorders>
            <w:noWrap w:val="0"/>
            <w:vAlign w:val="center"/>
          </w:tcPr>
          <w:p w14:paraId="58C177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8"/>
                <w:sz w:val="21"/>
                <w:szCs w:val="21"/>
                <w:highlight w:val="none"/>
              </w:rPr>
            </w:pPr>
            <w:r>
              <w:rPr>
                <w:rFonts w:hint="default" w:ascii="Times New Roman" w:hAnsi="Times New Roman" w:eastAsia="宋体" w:cs="Times New Roman"/>
                <w:spacing w:val="-8"/>
                <w:sz w:val="21"/>
                <w:szCs w:val="21"/>
                <w:highlight w:val="none"/>
              </w:rPr>
              <w:t>其他环境</w:t>
            </w:r>
          </w:p>
          <w:p w14:paraId="318F90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8"/>
                <w:sz w:val="21"/>
                <w:szCs w:val="21"/>
                <w:highlight w:val="none"/>
              </w:rPr>
            </w:pPr>
            <w:r>
              <w:rPr>
                <w:rFonts w:hint="default" w:ascii="Times New Roman" w:hAnsi="Times New Roman" w:eastAsia="宋体" w:cs="Times New Roman"/>
                <w:spacing w:val="-8"/>
                <w:sz w:val="21"/>
                <w:szCs w:val="21"/>
                <w:highlight w:val="none"/>
              </w:rPr>
              <w:t>管理要求</w:t>
            </w:r>
          </w:p>
        </w:tc>
        <w:tc>
          <w:tcPr>
            <w:tcW w:w="4224" w:type="pct"/>
            <w:gridSpan w:val="5"/>
            <w:tcBorders>
              <w:tl2br w:val="nil"/>
              <w:tr2bl w:val="nil"/>
            </w:tcBorders>
            <w:noWrap w:val="0"/>
            <w:vAlign w:val="center"/>
          </w:tcPr>
          <w:p w14:paraId="5E5806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eastAsia="zh-CN"/>
              </w:rPr>
              <w:t>建立环境管理机构，进行日常环境管理</w:t>
            </w:r>
            <w:r>
              <w:rPr>
                <w:rFonts w:hint="eastAsia" w:ascii="Times New Roman" w:hAnsi="Times New Roman" w:eastAsia="宋体" w:cs="Times New Roman"/>
                <w:sz w:val="21"/>
                <w:szCs w:val="21"/>
                <w:highlight w:val="none"/>
                <w:lang w:val="en-US" w:eastAsia="zh-CN"/>
              </w:rPr>
              <w:t>；</w:t>
            </w:r>
          </w:p>
          <w:p w14:paraId="1542CE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规范化污水排放口、废气排放口</w:t>
            </w:r>
            <w:r>
              <w:rPr>
                <w:rFonts w:hint="eastAsia" w:ascii="Times New Roman" w:hAnsi="Times New Roman" w:eastAsia="宋体" w:cs="Times New Roman"/>
                <w:sz w:val="21"/>
                <w:szCs w:val="21"/>
                <w:highlight w:val="none"/>
                <w:lang w:val="en-US" w:eastAsia="zh-CN"/>
              </w:rPr>
              <w:t>；</w:t>
            </w:r>
          </w:p>
          <w:p w14:paraId="6EC1D6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eastAsia="zh-CN"/>
              </w:rPr>
              <w:t>控制废水、废气污染物排放总量控制指标</w:t>
            </w:r>
            <w:r>
              <w:rPr>
                <w:rFonts w:hint="eastAsia" w:ascii="Times New Roman" w:hAnsi="Times New Roman" w:eastAsia="宋体" w:cs="Times New Roman"/>
                <w:sz w:val="21"/>
                <w:szCs w:val="21"/>
                <w:highlight w:val="none"/>
                <w:lang w:val="en-US" w:eastAsia="zh-CN"/>
              </w:rPr>
              <w:t>；</w:t>
            </w:r>
          </w:p>
          <w:p w14:paraId="53D7AF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4</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项目应当在投入生产之前填报完成排污许可证</w:t>
            </w:r>
            <w:r>
              <w:rPr>
                <w:rFonts w:hint="eastAsia" w:cs="Times New Roman"/>
                <w:sz w:val="21"/>
                <w:szCs w:val="21"/>
                <w:highlight w:val="none"/>
                <w:lang w:val="en-US" w:eastAsia="zh-CN"/>
              </w:rPr>
              <w:t>登记</w:t>
            </w:r>
            <w:r>
              <w:rPr>
                <w:rFonts w:hint="default" w:ascii="Times New Roman" w:hAnsi="Times New Roman" w:eastAsia="宋体" w:cs="Times New Roman"/>
                <w:sz w:val="21"/>
                <w:szCs w:val="21"/>
                <w:highlight w:val="none"/>
                <w:lang w:val="en-US" w:eastAsia="zh-CN"/>
              </w:rPr>
              <w:t>管理</w:t>
            </w:r>
            <w:r>
              <w:rPr>
                <w:rFonts w:hint="eastAsia" w:ascii="Times New Roman" w:hAnsi="Times New Roman" w:eastAsia="宋体" w:cs="Times New Roman"/>
                <w:sz w:val="21"/>
                <w:szCs w:val="21"/>
                <w:highlight w:val="none"/>
                <w:lang w:val="en-US" w:eastAsia="zh-CN"/>
              </w:rPr>
              <w:t>；</w:t>
            </w:r>
          </w:p>
          <w:p w14:paraId="70187C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按要求定期开展监测工作</w:t>
            </w:r>
            <w:r>
              <w:rPr>
                <w:rFonts w:hint="eastAsia" w:ascii="Times New Roman" w:hAnsi="Times New Roman" w:eastAsia="宋体" w:cs="Times New Roman"/>
                <w:sz w:val="21"/>
                <w:szCs w:val="21"/>
                <w:highlight w:val="none"/>
                <w:lang w:val="en-US" w:eastAsia="zh-CN"/>
              </w:rPr>
              <w:t>；</w:t>
            </w:r>
          </w:p>
          <w:p w14:paraId="3490C0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6</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落实"三同时”制度，项目竣工后应按规范要求开展自主验收工作。</w:t>
            </w:r>
          </w:p>
        </w:tc>
      </w:tr>
    </w:tbl>
    <w:p w14:paraId="7801B26C">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default" w:ascii="Times New Roman" w:hAnsi="Times New Roman" w:eastAsia="宋体" w:cs="Times New Roman"/>
          <w:b/>
          <w:bCs w:val="0"/>
          <w:color w:val="000000"/>
          <w:kern w:val="0"/>
          <w:sz w:val="30"/>
          <w:szCs w:val="28"/>
          <w:highlight w:val="none"/>
          <w:lang w:val="en-US" w:eastAsia="zh-CN" w:bidi="ar-SA"/>
        </w:rPr>
      </w:pPr>
      <w:r>
        <w:rPr>
          <w:rFonts w:hint="default" w:ascii="Times New Roman" w:hAnsi="Times New Roman" w:eastAsia="宋体" w:cs="Times New Roman"/>
          <w:snapToGrid w:val="0"/>
          <w:highlight w:val="none"/>
        </w:rPr>
        <w:br w:type="page"/>
      </w:r>
      <w:r>
        <w:rPr>
          <w:rFonts w:hint="default" w:ascii="Times New Roman" w:hAnsi="Times New Roman" w:eastAsia="宋体" w:cs="Times New Roman"/>
          <w:b/>
          <w:bCs w:val="0"/>
          <w:color w:val="000000"/>
          <w:kern w:val="0"/>
          <w:sz w:val="30"/>
          <w:szCs w:val="28"/>
          <w:highlight w:val="none"/>
          <w:lang w:val="en-US" w:eastAsia="zh-CN" w:bidi="ar-SA"/>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86C6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3BB7D6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综上所述，该项目运营过程中认真落实本报告表提出的措施和建议，确保各项污染物均达标排放，则该项目建设对环境的影响是可以接受的，从环境保护的角度考虑该项目的选址、建设是可行的。</w:t>
            </w:r>
          </w:p>
          <w:p w14:paraId="4E6FEED2">
            <w:pPr>
              <w:spacing w:line="360" w:lineRule="auto"/>
              <w:jc w:val="center"/>
              <w:rPr>
                <w:rFonts w:hint="default" w:ascii="Times New Roman" w:hAnsi="Times New Roman" w:eastAsia="宋体" w:cs="Times New Roman"/>
                <w:sz w:val="24"/>
                <w:highlight w:val="none"/>
              </w:rPr>
            </w:pPr>
          </w:p>
        </w:tc>
      </w:tr>
    </w:tbl>
    <w:p w14:paraId="44CC6E88">
      <w:pPr>
        <w:pStyle w:val="9"/>
        <w:spacing w:before="0" w:beforeLines="0" w:line="240" w:lineRule="auto"/>
        <w:ind w:firstLine="0" w:firstLineChars="0"/>
        <w:jc w:val="center"/>
        <w:rPr>
          <w:rFonts w:hint="default" w:ascii="Times New Roman" w:hAnsi="Times New Roman" w:eastAsia="宋体" w:cs="Times New Roman"/>
          <w:b/>
          <w:bCs w:val="0"/>
          <w:color w:val="000000"/>
          <w:sz w:val="24"/>
          <w:highlight w:val="none"/>
        </w:rPr>
      </w:pPr>
    </w:p>
    <w:p w14:paraId="215667F1">
      <w:pPr>
        <w:pStyle w:val="9"/>
        <w:spacing w:before="0" w:beforeLines="0" w:line="240" w:lineRule="auto"/>
        <w:ind w:firstLine="0" w:firstLineChars="0"/>
        <w:jc w:val="center"/>
        <w:rPr>
          <w:rFonts w:hint="default" w:ascii="Times New Roman" w:hAnsi="Times New Roman" w:eastAsia="宋体" w:cs="Times New Roman"/>
          <w:b/>
          <w:bCs w:val="0"/>
          <w:color w:val="000000"/>
          <w:sz w:val="24"/>
          <w:highlight w:val="none"/>
        </w:rPr>
      </w:pPr>
    </w:p>
    <w:p w14:paraId="65BA511C">
      <w:pPr>
        <w:rPr>
          <w:rFonts w:hint="default" w:ascii="Times New Roman" w:hAnsi="Times New Roman" w:eastAsia="宋体" w:cs="Times New Roman"/>
          <w:highlight w:val="none"/>
        </w:rPr>
        <w:sectPr>
          <w:pgSz w:w="11906" w:h="16838"/>
          <w:pgMar w:top="1440" w:right="1803" w:bottom="1440" w:left="1803"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31645ED6">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宋体" w:cs="Times New Roman"/>
          <w:snapToGrid w:val="0"/>
          <w:sz w:val="30"/>
          <w:szCs w:val="30"/>
          <w:highlight w:val="none"/>
        </w:rPr>
      </w:pPr>
      <w:r>
        <w:rPr>
          <w:rFonts w:hint="default" w:ascii="Times New Roman" w:hAnsi="Times New Roman" w:eastAsia="宋体" w:cs="Times New Roman"/>
          <w:snapToGrid w:val="0"/>
          <w:sz w:val="30"/>
          <w:szCs w:val="30"/>
          <w:highlight w:val="none"/>
        </w:rPr>
        <w:t>附表</w:t>
      </w:r>
    </w:p>
    <w:p w14:paraId="2CB50941">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sz w:val="28"/>
          <w:szCs w:val="28"/>
          <w:highlight w:val="none"/>
          <w:lang w:val="en-US" w:eastAsia="zh-CN"/>
        </w:rPr>
      </w:pPr>
      <w:r>
        <w:rPr>
          <w:rFonts w:hint="default" w:ascii="Times New Roman" w:hAnsi="Times New Roman" w:eastAsia="宋体" w:cs="Times New Roman"/>
          <w:b/>
          <w:bCs/>
          <w:snapToGrid w:val="0"/>
          <w:color w:val="auto"/>
          <w:sz w:val="28"/>
          <w:szCs w:val="28"/>
          <w:highlight w:val="none"/>
        </w:rPr>
        <w:t>建设项目污染物排放量汇总表</w:t>
      </w:r>
      <w:r>
        <w:rPr>
          <w:rFonts w:hint="default" w:ascii="Times New Roman" w:hAnsi="Times New Roman" w:eastAsia="宋体" w:cs="Times New Roman"/>
          <w:b/>
          <w:bCs/>
          <w:snapToGrid w:val="0"/>
          <w:color w:val="auto"/>
          <w:sz w:val="28"/>
          <w:szCs w:val="28"/>
          <w:highlight w:val="none"/>
          <w:lang w:val="en-US" w:eastAsia="zh-CN"/>
        </w:rPr>
        <w:t xml:space="preserve">  单位：t/a</w:t>
      </w:r>
    </w:p>
    <w:tbl>
      <w:tblPr>
        <w:tblStyle w:val="2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438"/>
        <w:gridCol w:w="1727"/>
        <w:gridCol w:w="1295"/>
        <w:gridCol w:w="1727"/>
        <w:gridCol w:w="1584"/>
        <w:gridCol w:w="1789"/>
        <w:gridCol w:w="1647"/>
        <w:gridCol w:w="1184"/>
      </w:tblGrid>
      <w:tr w14:paraId="074F3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tcBorders>
              <w:tl2br w:val="single" w:color="auto" w:sz="4" w:space="0"/>
            </w:tcBorders>
            <w:noWrap w:val="0"/>
            <w:tcMar>
              <w:left w:w="28" w:type="dxa"/>
              <w:right w:w="28" w:type="dxa"/>
            </w:tcMar>
            <w:vAlign w:val="center"/>
          </w:tcPr>
          <w:p w14:paraId="3B71124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right"/>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项目</w:t>
            </w:r>
          </w:p>
          <w:p w14:paraId="5AB14D0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分类</w:t>
            </w:r>
          </w:p>
        </w:tc>
        <w:tc>
          <w:tcPr>
            <w:tcW w:w="513" w:type="pct"/>
            <w:noWrap w:val="0"/>
            <w:tcMar>
              <w:left w:w="28" w:type="dxa"/>
              <w:right w:w="28" w:type="dxa"/>
            </w:tcMar>
            <w:vAlign w:val="center"/>
          </w:tcPr>
          <w:p w14:paraId="76D0B32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污染物名称</w:t>
            </w:r>
          </w:p>
        </w:tc>
        <w:tc>
          <w:tcPr>
            <w:tcW w:w="616" w:type="pct"/>
            <w:noWrap w:val="0"/>
            <w:tcMar>
              <w:left w:w="28" w:type="dxa"/>
              <w:right w:w="28" w:type="dxa"/>
            </w:tcMar>
            <w:vAlign w:val="center"/>
          </w:tcPr>
          <w:p w14:paraId="213A6C6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现有工程</w:t>
            </w:r>
          </w:p>
          <w:p w14:paraId="092A1EB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排放量（固体废物产生量）</w: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begin"/>
            </w:r>
            <w:r>
              <w:rPr>
                <w:rFonts w:hint="default" w:ascii="Times New Roman" w:hAnsi="Times New Roman" w:eastAsia="宋体" w:cs="Times New Roman"/>
                <w:snapToGrid w:val="0"/>
                <w:color w:val="auto"/>
                <w:spacing w:val="-6"/>
                <w:kern w:val="21"/>
                <w:sz w:val="21"/>
                <w:szCs w:val="21"/>
                <w:highlight w:val="none"/>
                <w:shd w:val="clear" w:color="auto" w:fill="auto"/>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separate"/>
            </w:r>
            <w:r>
              <w:rPr>
                <w:rFonts w:hint="default" w:ascii="Times New Roman" w:hAnsi="Times New Roman" w:eastAsia="宋体" w:cs="Times New Roman"/>
                <w:color w:val="auto"/>
                <w:kern w:val="2"/>
                <w:sz w:val="21"/>
                <w:szCs w:val="21"/>
                <w:highlight w:val="none"/>
                <w:shd w:val="clear" w:color="auto" w:fill="auto"/>
              </w:rPr>
              <w:t>①</w: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end"/>
            </w:r>
          </w:p>
        </w:tc>
        <w:tc>
          <w:tcPr>
            <w:tcW w:w="462" w:type="pct"/>
            <w:noWrap w:val="0"/>
            <w:tcMar>
              <w:left w:w="28" w:type="dxa"/>
              <w:right w:w="28" w:type="dxa"/>
            </w:tcMar>
            <w:vAlign w:val="center"/>
          </w:tcPr>
          <w:p w14:paraId="0FF2C6E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现有工程</w:t>
            </w:r>
          </w:p>
          <w:p w14:paraId="799E0F2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许可排放量</w:t>
            </w:r>
          </w:p>
          <w:p w14:paraId="173DF77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fldChar w:fldCharType="begin"/>
            </w:r>
            <w:r>
              <w:rPr>
                <w:rFonts w:hint="default" w:ascii="Times New Roman" w:hAnsi="Times New Roman" w:eastAsia="宋体" w:cs="Times New Roman"/>
                <w:snapToGrid w:val="0"/>
                <w:color w:val="auto"/>
                <w:spacing w:val="-6"/>
                <w:kern w:val="21"/>
                <w:sz w:val="21"/>
                <w:szCs w:val="21"/>
                <w:highlight w:val="none"/>
                <w:shd w:val="clear" w:color="auto" w:fill="auto"/>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separate"/>
            </w:r>
            <w:r>
              <w:rPr>
                <w:rFonts w:hint="default" w:ascii="Times New Roman" w:hAnsi="Times New Roman" w:eastAsia="宋体" w:cs="Times New Roman"/>
                <w:snapToGrid w:val="0"/>
                <w:color w:val="auto"/>
                <w:spacing w:val="-6"/>
                <w:kern w:val="21"/>
                <w:sz w:val="21"/>
                <w:szCs w:val="21"/>
                <w:highlight w:val="none"/>
                <w:shd w:val="clear" w:color="auto" w:fill="auto"/>
              </w:rPr>
              <w:t>②</w: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end"/>
            </w:r>
          </w:p>
        </w:tc>
        <w:tc>
          <w:tcPr>
            <w:tcW w:w="616" w:type="pct"/>
            <w:noWrap w:val="0"/>
            <w:tcMar>
              <w:left w:w="28" w:type="dxa"/>
              <w:right w:w="28" w:type="dxa"/>
            </w:tcMar>
            <w:vAlign w:val="center"/>
          </w:tcPr>
          <w:p w14:paraId="581093C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在建工程</w:t>
            </w:r>
          </w:p>
          <w:p w14:paraId="427CCC1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排放量（固体废物产生量）</w: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begin"/>
            </w:r>
            <w:r>
              <w:rPr>
                <w:rFonts w:hint="default" w:ascii="Times New Roman" w:hAnsi="Times New Roman" w:eastAsia="宋体" w:cs="Times New Roman"/>
                <w:snapToGrid w:val="0"/>
                <w:color w:val="auto"/>
                <w:spacing w:val="-6"/>
                <w:kern w:val="21"/>
                <w:sz w:val="21"/>
                <w:szCs w:val="21"/>
                <w:highlight w:val="none"/>
                <w:shd w:val="clear" w:color="auto" w:fill="auto"/>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separate"/>
            </w:r>
            <w:r>
              <w:rPr>
                <w:rFonts w:hint="default" w:ascii="Times New Roman" w:hAnsi="Times New Roman" w:eastAsia="宋体" w:cs="Times New Roman"/>
                <w:color w:val="auto"/>
                <w:kern w:val="2"/>
                <w:sz w:val="21"/>
                <w:szCs w:val="21"/>
                <w:highlight w:val="none"/>
                <w:shd w:val="clear" w:color="auto" w:fill="auto"/>
              </w:rPr>
              <w:t>③</w: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end"/>
            </w:r>
          </w:p>
        </w:tc>
        <w:tc>
          <w:tcPr>
            <w:tcW w:w="565" w:type="pct"/>
            <w:noWrap w:val="0"/>
            <w:tcMar>
              <w:left w:w="28" w:type="dxa"/>
              <w:right w:w="28" w:type="dxa"/>
            </w:tcMar>
            <w:vAlign w:val="center"/>
          </w:tcPr>
          <w:p w14:paraId="567F2D1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本项目</w:t>
            </w:r>
          </w:p>
          <w:p w14:paraId="20338F9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排放量（固体废物产生量）</w: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begin"/>
            </w:r>
            <w:r>
              <w:rPr>
                <w:rFonts w:hint="default" w:ascii="Times New Roman" w:hAnsi="Times New Roman" w:eastAsia="宋体" w:cs="Times New Roman"/>
                <w:snapToGrid w:val="0"/>
                <w:color w:val="auto"/>
                <w:spacing w:val="-6"/>
                <w:kern w:val="21"/>
                <w:sz w:val="21"/>
                <w:szCs w:val="21"/>
                <w:highlight w:val="none"/>
                <w:shd w:val="clear" w:color="auto" w:fill="auto"/>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separate"/>
            </w:r>
            <w:r>
              <w:rPr>
                <w:rFonts w:hint="default" w:ascii="Times New Roman" w:hAnsi="Times New Roman" w:eastAsia="宋体" w:cs="Times New Roman"/>
                <w:color w:val="auto"/>
                <w:kern w:val="2"/>
                <w:sz w:val="21"/>
                <w:szCs w:val="21"/>
                <w:highlight w:val="none"/>
                <w:shd w:val="clear" w:color="auto" w:fill="auto"/>
              </w:rPr>
              <w:t>④</w: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end"/>
            </w:r>
          </w:p>
        </w:tc>
        <w:tc>
          <w:tcPr>
            <w:tcW w:w="638" w:type="pct"/>
            <w:noWrap w:val="0"/>
            <w:tcMar>
              <w:left w:w="28" w:type="dxa"/>
              <w:right w:w="28" w:type="dxa"/>
            </w:tcMar>
            <w:vAlign w:val="center"/>
          </w:tcPr>
          <w:p w14:paraId="13FF8FC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shd w:val="clear" w:color="auto" w:fill="auto"/>
              </w:rPr>
            </w:pPr>
            <w:r>
              <w:rPr>
                <w:rFonts w:hint="default" w:ascii="Times New Roman" w:hAnsi="Times New Roman" w:eastAsia="宋体" w:cs="Times New Roman"/>
                <w:snapToGrid w:val="0"/>
                <w:color w:val="auto"/>
                <w:spacing w:val="-16"/>
                <w:kern w:val="21"/>
                <w:sz w:val="21"/>
                <w:szCs w:val="21"/>
                <w:highlight w:val="none"/>
                <w:shd w:val="clear" w:color="auto" w:fill="auto"/>
              </w:rPr>
              <w:t>以新带老削减量</w:t>
            </w:r>
          </w:p>
          <w:p w14:paraId="4B99913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shd w:val="clear" w:color="auto" w:fill="auto"/>
              </w:rPr>
            </w:pPr>
            <w:r>
              <w:rPr>
                <w:rFonts w:hint="default" w:ascii="Times New Roman" w:hAnsi="Times New Roman" w:eastAsia="宋体" w:cs="Times New Roman"/>
                <w:snapToGrid w:val="0"/>
                <w:color w:val="auto"/>
                <w:spacing w:val="-16"/>
                <w:kern w:val="21"/>
                <w:sz w:val="21"/>
                <w:szCs w:val="21"/>
                <w:highlight w:val="none"/>
                <w:shd w:val="clear" w:color="auto" w:fill="auto"/>
              </w:rPr>
              <w:t>（新建项目不填）</w:t>
            </w:r>
            <w:r>
              <w:rPr>
                <w:rFonts w:hint="default" w:ascii="Times New Roman" w:hAnsi="Times New Roman" w:eastAsia="宋体" w:cs="Times New Roman"/>
                <w:snapToGrid w:val="0"/>
                <w:color w:val="auto"/>
                <w:spacing w:val="-16"/>
                <w:kern w:val="21"/>
                <w:sz w:val="21"/>
                <w:szCs w:val="21"/>
                <w:highlight w:val="none"/>
                <w:shd w:val="clear" w:color="auto" w:fill="auto"/>
              </w:rPr>
              <w:fldChar w:fldCharType="begin"/>
            </w:r>
            <w:r>
              <w:rPr>
                <w:rFonts w:hint="default" w:ascii="Times New Roman" w:hAnsi="Times New Roman" w:eastAsia="宋体" w:cs="Times New Roman"/>
                <w:snapToGrid w:val="0"/>
                <w:color w:val="auto"/>
                <w:spacing w:val="-16"/>
                <w:kern w:val="21"/>
                <w:sz w:val="21"/>
                <w:szCs w:val="21"/>
                <w:highlight w:val="none"/>
                <w:shd w:val="clear" w:color="auto" w:fill="auto"/>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shd w:val="clear" w:color="auto" w:fill="auto"/>
              </w:rPr>
              <w:fldChar w:fldCharType="separate"/>
            </w:r>
            <w:r>
              <w:rPr>
                <w:rFonts w:hint="default" w:ascii="Times New Roman" w:hAnsi="Times New Roman" w:eastAsia="宋体" w:cs="Times New Roman"/>
                <w:color w:val="auto"/>
                <w:kern w:val="2"/>
                <w:sz w:val="21"/>
                <w:szCs w:val="21"/>
                <w:highlight w:val="none"/>
                <w:shd w:val="clear" w:color="auto" w:fill="auto"/>
              </w:rPr>
              <w:t>⑤</w:t>
            </w:r>
            <w:r>
              <w:rPr>
                <w:rFonts w:hint="default" w:ascii="Times New Roman" w:hAnsi="Times New Roman" w:eastAsia="宋体" w:cs="Times New Roman"/>
                <w:snapToGrid w:val="0"/>
                <w:color w:val="auto"/>
                <w:spacing w:val="-16"/>
                <w:kern w:val="21"/>
                <w:sz w:val="21"/>
                <w:szCs w:val="21"/>
                <w:highlight w:val="none"/>
                <w:shd w:val="clear" w:color="auto" w:fill="auto"/>
              </w:rPr>
              <w:fldChar w:fldCharType="end"/>
            </w:r>
          </w:p>
        </w:tc>
        <w:tc>
          <w:tcPr>
            <w:tcW w:w="587" w:type="pct"/>
            <w:noWrap w:val="0"/>
            <w:tcMar>
              <w:left w:w="28" w:type="dxa"/>
              <w:right w:w="28" w:type="dxa"/>
            </w:tcMar>
            <w:vAlign w:val="center"/>
          </w:tcPr>
          <w:p w14:paraId="2C971E2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shd w:val="clear" w:color="auto" w:fill="auto"/>
              </w:rPr>
            </w:pPr>
            <w:r>
              <w:rPr>
                <w:rFonts w:hint="default" w:ascii="Times New Roman" w:hAnsi="Times New Roman" w:eastAsia="宋体" w:cs="Times New Roman"/>
                <w:snapToGrid w:val="0"/>
                <w:color w:val="auto"/>
                <w:spacing w:val="-16"/>
                <w:kern w:val="21"/>
                <w:sz w:val="21"/>
                <w:szCs w:val="21"/>
                <w:highlight w:val="none"/>
                <w:shd w:val="clear" w:color="auto" w:fill="auto"/>
              </w:rPr>
              <w:t>本项目建成后</w:t>
            </w:r>
          </w:p>
          <w:p w14:paraId="3DA1230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shd w:val="clear" w:color="auto" w:fill="auto"/>
              </w:rPr>
            </w:pPr>
            <w:r>
              <w:rPr>
                <w:rFonts w:hint="default" w:ascii="Times New Roman" w:hAnsi="Times New Roman" w:eastAsia="宋体" w:cs="Times New Roman"/>
                <w:snapToGrid w:val="0"/>
                <w:color w:val="auto"/>
                <w:spacing w:val="-16"/>
                <w:kern w:val="21"/>
                <w:sz w:val="21"/>
                <w:szCs w:val="21"/>
                <w:highlight w:val="none"/>
                <w:shd w:val="clear" w:color="auto" w:fill="auto"/>
              </w:rPr>
              <w:t>全厂排放量（固体废物产生量）</w:t>
            </w:r>
            <w:r>
              <w:rPr>
                <w:rFonts w:hint="default" w:ascii="Times New Roman" w:hAnsi="Times New Roman" w:eastAsia="宋体" w:cs="Times New Roman"/>
                <w:snapToGrid w:val="0"/>
                <w:color w:val="auto"/>
                <w:spacing w:val="-16"/>
                <w:kern w:val="21"/>
                <w:sz w:val="21"/>
                <w:szCs w:val="21"/>
                <w:highlight w:val="none"/>
                <w:shd w:val="clear" w:color="auto" w:fill="auto"/>
              </w:rPr>
              <w:fldChar w:fldCharType="begin"/>
            </w:r>
            <w:r>
              <w:rPr>
                <w:rFonts w:hint="default" w:ascii="Times New Roman" w:hAnsi="Times New Roman" w:eastAsia="宋体" w:cs="Times New Roman"/>
                <w:snapToGrid w:val="0"/>
                <w:color w:val="auto"/>
                <w:spacing w:val="-16"/>
                <w:kern w:val="21"/>
                <w:sz w:val="21"/>
                <w:szCs w:val="21"/>
                <w:highlight w:val="none"/>
                <w:shd w:val="clear" w:color="auto" w:fill="auto"/>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shd w:val="clear" w:color="auto" w:fill="auto"/>
              </w:rPr>
              <w:fldChar w:fldCharType="separate"/>
            </w:r>
            <w:r>
              <w:rPr>
                <w:rFonts w:hint="default" w:ascii="Times New Roman" w:hAnsi="Times New Roman" w:eastAsia="宋体" w:cs="Times New Roman"/>
                <w:color w:val="auto"/>
                <w:kern w:val="2"/>
                <w:sz w:val="21"/>
                <w:szCs w:val="21"/>
                <w:highlight w:val="none"/>
                <w:shd w:val="clear" w:color="auto" w:fill="auto"/>
              </w:rPr>
              <w:t>⑥</w:t>
            </w:r>
            <w:r>
              <w:rPr>
                <w:rFonts w:hint="default" w:ascii="Times New Roman" w:hAnsi="Times New Roman" w:eastAsia="宋体" w:cs="Times New Roman"/>
                <w:snapToGrid w:val="0"/>
                <w:color w:val="auto"/>
                <w:spacing w:val="-16"/>
                <w:kern w:val="21"/>
                <w:sz w:val="21"/>
                <w:szCs w:val="21"/>
                <w:highlight w:val="none"/>
                <w:shd w:val="clear" w:color="auto" w:fill="auto"/>
              </w:rPr>
              <w:fldChar w:fldCharType="end"/>
            </w:r>
          </w:p>
        </w:tc>
        <w:tc>
          <w:tcPr>
            <w:tcW w:w="422" w:type="pct"/>
            <w:noWrap w:val="0"/>
            <w:tcMar>
              <w:left w:w="28" w:type="dxa"/>
              <w:right w:w="28" w:type="dxa"/>
            </w:tcMar>
            <w:vAlign w:val="center"/>
          </w:tcPr>
          <w:p w14:paraId="2F7544E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t>变化量</w:t>
            </w:r>
          </w:p>
          <w:p w14:paraId="5AC96E1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shd w:val="clear" w:color="auto" w:fill="auto"/>
              </w:rPr>
            </w:pPr>
            <w:r>
              <w:rPr>
                <w:rFonts w:hint="default" w:ascii="Times New Roman" w:hAnsi="Times New Roman" w:eastAsia="宋体" w:cs="Times New Roman"/>
                <w:snapToGrid w:val="0"/>
                <w:color w:val="auto"/>
                <w:spacing w:val="-6"/>
                <w:kern w:val="21"/>
                <w:sz w:val="21"/>
                <w:szCs w:val="21"/>
                <w:highlight w:val="none"/>
                <w:shd w:val="clear" w:color="auto" w:fill="auto"/>
              </w:rPr>
              <w:fldChar w:fldCharType="begin"/>
            </w:r>
            <w:r>
              <w:rPr>
                <w:rFonts w:hint="default" w:ascii="Times New Roman" w:hAnsi="Times New Roman" w:eastAsia="宋体" w:cs="Times New Roman"/>
                <w:snapToGrid w:val="0"/>
                <w:color w:val="auto"/>
                <w:spacing w:val="-6"/>
                <w:kern w:val="21"/>
                <w:sz w:val="21"/>
                <w:szCs w:val="21"/>
                <w:highlight w:val="none"/>
                <w:shd w:val="clear" w:color="auto" w:fill="auto"/>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separate"/>
            </w:r>
            <w:r>
              <w:rPr>
                <w:rFonts w:hint="default" w:ascii="Times New Roman" w:hAnsi="Times New Roman" w:eastAsia="宋体" w:cs="Times New Roman"/>
                <w:color w:val="auto"/>
                <w:kern w:val="2"/>
                <w:sz w:val="21"/>
                <w:szCs w:val="21"/>
                <w:highlight w:val="none"/>
                <w:shd w:val="clear" w:color="auto" w:fill="auto"/>
              </w:rPr>
              <w:t>⑦</w:t>
            </w:r>
            <w:r>
              <w:rPr>
                <w:rFonts w:hint="default" w:ascii="Times New Roman" w:hAnsi="Times New Roman" w:eastAsia="宋体" w:cs="Times New Roman"/>
                <w:snapToGrid w:val="0"/>
                <w:color w:val="auto"/>
                <w:spacing w:val="-6"/>
                <w:kern w:val="21"/>
                <w:sz w:val="21"/>
                <w:szCs w:val="21"/>
                <w:highlight w:val="none"/>
                <w:shd w:val="clear" w:color="auto" w:fill="auto"/>
              </w:rPr>
              <w:fldChar w:fldCharType="end"/>
            </w:r>
          </w:p>
        </w:tc>
      </w:tr>
      <w:tr w14:paraId="5F2FE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restart"/>
            <w:noWrap w:val="0"/>
            <w:vAlign w:val="center"/>
          </w:tcPr>
          <w:p w14:paraId="2CCE20B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eastAsia="zh-CN"/>
              </w:rPr>
            </w:pPr>
            <w:r>
              <w:rPr>
                <w:rFonts w:hint="eastAsia" w:ascii="Times New Roman" w:hAnsi="Times New Roman" w:eastAsia="宋体" w:cs="Times New Roman"/>
                <w:snapToGrid w:val="0"/>
                <w:color w:val="auto"/>
                <w:kern w:val="21"/>
                <w:sz w:val="21"/>
                <w:szCs w:val="21"/>
                <w:highlight w:val="none"/>
                <w:shd w:val="clear" w:color="auto" w:fill="auto"/>
                <w:lang w:eastAsia="zh-CN"/>
              </w:rPr>
              <w:t>废气</w:t>
            </w:r>
          </w:p>
        </w:tc>
        <w:tc>
          <w:tcPr>
            <w:tcW w:w="513" w:type="pct"/>
            <w:noWrap w:val="0"/>
            <w:vAlign w:val="center"/>
          </w:tcPr>
          <w:p w14:paraId="5203C93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废气量</w:t>
            </w:r>
          </w:p>
        </w:tc>
        <w:tc>
          <w:tcPr>
            <w:tcW w:w="616" w:type="pct"/>
            <w:noWrap w:val="0"/>
            <w:vAlign w:val="center"/>
          </w:tcPr>
          <w:p w14:paraId="5A3166C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cs="Times New Roman"/>
                <w:b w:val="0"/>
                <w:bCs w:val="0"/>
                <w:color w:val="000000"/>
                <w:kern w:val="2"/>
                <w:sz w:val="21"/>
                <w:szCs w:val="21"/>
                <w:highlight w:val="none"/>
                <w:vertAlign w:val="baseline"/>
                <w:lang w:val="en-US" w:eastAsia="zh-CN" w:bidi="ar-SA"/>
              </w:rPr>
            </w:pPr>
            <w:r>
              <w:rPr>
                <w:rFonts w:hint="eastAsia" w:cs="Times New Roman"/>
                <w:b w:val="0"/>
                <w:bCs w:val="0"/>
                <w:color w:val="000000"/>
                <w:kern w:val="2"/>
                <w:sz w:val="21"/>
                <w:szCs w:val="21"/>
                <w:highlight w:val="none"/>
                <w:vertAlign w:val="baseline"/>
                <w:lang w:val="en-US" w:eastAsia="zh-CN" w:bidi="ar-SA"/>
              </w:rPr>
              <w:t>--</w:t>
            </w:r>
          </w:p>
        </w:tc>
        <w:tc>
          <w:tcPr>
            <w:tcW w:w="462" w:type="pct"/>
            <w:noWrap w:val="0"/>
            <w:vAlign w:val="center"/>
          </w:tcPr>
          <w:p w14:paraId="30DBC4F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616" w:type="pct"/>
            <w:noWrap w:val="0"/>
            <w:vAlign w:val="center"/>
          </w:tcPr>
          <w:p w14:paraId="0BF774B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565" w:type="pct"/>
            <w:noWrap w:val="0"/>
            <w:vAlign w:val="center"/>
          </w:tcPr>
          <w:p w14:paraId="58F96BFA">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7246.33万m</w:t>
            </w:r>
            <w:r>
              <w:rPr>
                <w:rFonts w:hint="eastAsia" w:cs="Times New Roman"/>
                <w:b w:val="0"/>
                <w:bCs w:val="0"/>
                <w:color w:val="000000"/>
                <w:sz w:val="21"/>
                <w:szCs w:val="21"/>
                <w:highlight w:val="none"/>
                <w:vertAlign w:val="superscript"/>
                <w:lang w:val="en-US" w:eastAsia="zh-CN"/>
              </w:rPr>
              <w:t>3</w:t>
            </w:r>
          </w:p>
        </w:tc>
        <w:tc>
          <w:tcPr>
            <w:tcW w:w="638" w:type="pct"/>
            <w:noWrap w:val="0"/>
            <w:vAlign w:val="center"/>
          </w:tcPr>
          <w:p w14:paraId="56D488F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587" w:type="pct"/>
            <w:noWrap w:val="0"/>
            <w:vAlign w:val="center"/>
          </w:tcPr>
          <w:p w14:paraId="08609369">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7246.33万m</w:t>
            </w:r>
            <w:r>
              <w:rPr>
                <w:rFonts w:hint="eastAsia" w:cs="Times New Roman"/>
                <w:b w:val="0"/>
                <w:bCs w:val="0"/>
                <w:color w:val="000000"/>
                <w:sz w:val="21"/>
                <w:szCs w:val="21"/>
                <w:highlight w:val="none"/>
                <w:vertAlign w:val="superscript"/>
                <w:lang w:val="en-US" w:eastAsia="zh-CN"/>
              </w:rPr>
              <w:t>3</w:t>
            </w:r>
          </w:p>
        </w:tc>
        <w:tc>
          <w:tcPr>
            <w:tcW w:w="422" w:type="pct"/>
            <w:noWrap w:val="0"/>
            <w:vAlign w:val="center"/>
          </w:tcPr>
          <w:p w14:paraId="05A4B569">
            <w:pPr>
              <w:keepNext w:val="0"/>
              <w:keepLines w:val="0"/>
              <w:widowControl/>
              <w:suppressLineNumbers w:val="0"/>
              <w:jc w:val="center"/>
              <w:textAlignment w:val="center"/>
              <w:rPr>
                <w:rFonts w:hint="eastAsia" w:ascii="Times New Roman" w:hAnsi="Times New Roman" w:eastAsia="宋体" w:cs="Times New Roman"/>
                <w:bCs/>
                <w:i w:val="0"/>
                <w:iCs w:val="0"/>
                <w:color w:val="000000"/>
                <w:kern w:val="2"/>
                <w:sz w:val="21"/>
                <w:szCs w:val="21"/>
                <w:highlight w:val="none"/>
                <w:u w:val="none"/>
                <w:lang w:val="en-US" w:eastAsia="zh-CN" w:bidi="ar-SA"/>
              </w:rPr>
            </w:pPr>
            <w:r>
              <w:rPr>
                <w:rFonts w:hint="eastAsia" w:cs="Times New Roman"/>
                <w:b w:val="0"/>
                <w:bCs w:val="0"/>
                <w:color w:val="000000"/>
                <w:sz w:val="21"/>
                <w:szCs w:val="21"/>
                <w:highlight w:val="none"/>
                <w:vertAlign w:val="baseline"/>
                <w:lang w:val="en-US" w:eastAsia="zh-CN"/>
              </w:rPr>
              <w:t>7246.33万m</w:t>
            </w:r>
            <w:r>
              <w:rPr>
                <w:rFonts w:hint="eastAsia" w:cs="Times New Roman"/>
                <w:b w:val="0"/>
                <w:bCs w:val="0"/>
                <w:color w:val="000000"/>
                <w:sz w:val="21"/>
                <w:szCs w:val="21"/>
                <w:highlight w:val="none"/>
                <w:vertAlign w:val="superscript"/>
                <w:lang w:val="en-US" w:eastAsia="zh-CN"/>
              </w:rPr>
              <w:t>3</w:t>
            </w:r>
          </w:p>
        </w:tc>
      </w:tr>
      <w:tr w14:paraId="5C034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5B0C16C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eastAsia="zh-CN"/>
              </w:rPr>
            </w:pPr>
          </w:p>
        </w:tc>
        <w:tc>
          <w:tcPr>
            <w:tcW w:w="513" w:type="pct"/>
            <w:noWrap w:val="0"/>
            <w:vAlign w:val="center"/>
          </w:tcPr>
          <w:p w14:paraId="76CDCD0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subscript"/>
                <w:lang w:val="en-US" w:eastAsia="zh-CN" w:bidi="ar-SA"/>
              </w:rPr>
            </w:pPr>
            <w:r>
              <w:rPr>
                <w:rFonts w:hint="eastAsia" w:ascii="Times New Roman" w:hAnsi="Times New Roman" w:eastAsia="宋体" w:cs="Times New Roman"/>
                <w:color w:val="000000"/>
                <w:sz w:val="21"/>
                <w:szCs w:val="21"/>
                <w:highlight w:val="none"/>
                <w:lang w:val="en-US" w:eastAsia="zh-CN"/>
              </w:rPr>
              <w:t>非甲烷总烃</w:t>
            </w:r>
          </w:p>
        </w:tc>
        <w:tc>
          <w:tcPr>
            <w:tcW w:w="616" w:type="pct"/>
            <w:noWrap w:val="0"/>
            <w:vAlign w:val="center"/>
          </w:tcPr>
          <w:p w14:paraId="35BB4FD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val="0"/>
                <w:color w:val="000000"/>
                <w:kern w:val="2"/>
                <w:sz w:val="21"/>
                <w:szCs w:val="21"/>
                <w:highlight w:val="none"/>
                <w:vertAlign w:val="baseline"/>
                <w:lang w:val="en-US" w:eastAsia="zh-CN" w:bidi="ar-SA"/>
              </w:rPr>
              <w:t>--</w:t>
            </w:r>
          </w:p>
        </w:tc>
        <w:tc>
          <w:tcPr>
            <w:tcW w:w="462" w:type="pct"/>
            <w:noWrap w:val="0"/>
            <w:vAlign w:val="center"/>
          </w:tcPr>
          <w:p w14:paraId="172EC19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24B7380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49282774">
            <w:pPr>
              <w:keepNext w:val="0"/>
              <w:keepLines w:val="0"/>
              <w:widowControl/>
              <w:suppressLineNumbers w:val="0"/>
              <w:jc w:val="center"/>
              <w:textAlignment w:val="center"/>
              <w:rPr>
                <w:rFonts w:hint="default" w:ascii="Times New Roman" w:hAnsi="Times New Roman" w:eastAsia="宋体" w:cs="Times New Roman"/>
                <w:bCs/>
                <w:i w:val="0"/>
                <w:iCs w:val="0"/>
                <w:color w:val="000000"/>
                <w:kern w:val="2"/>
                <w:sz w:val="21"/>
                <w:szCs w:val="21"/>
                <w:highlight w:val="none"/>
                <w:u w:val="no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rPr>
              <w:t>0.</w:t>
            </w:r>
            <w:r>
              <w:rPr>
                <w:rFonts w:hint="eastAsia" w:cs="Times New Roman"/>
                <w:b w:val="0"/>
                <w:bCs w:val="0"/>
                <w:color w:val="000000"/>
                <w:sz w:val="21"/>
                <w:szCs w:val="21"/>
                <w:highlight w:val="none"/>
                <w:vertAlign w:val="baseline"/>
                <w:lang w:val="en-US" w:eastAsia="zh-CN"/>
              </w:rPr>
              <w:t>2905</w:t>
            </w:r>
          </w:p>
        </w:tc>
        <w:tc>
          <w:tcPr>
            <w:tcW w:w="638" w:type="pct"/>
            <w:noWrap w:val="0"/>
            <w:vAlign w:val="center"/>
          </w:tcPr>
          <w:p w14:paraId="54A68DC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87" w:type="pct"/>
            <w:noWrap w:val="0"/>
            <w:vAlign w:val="center"/>
          </w:tcPr>
          <w:p w14:paraId="2D92FB3A">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color w:val="000000"/>
                <w:sz w:val="21"/>
                <w:szCs w:val="21"/>
                <w:highlight w:val="none"/>
                <w:vertAlign w:val="baseline"/>
                <w:lang w:val="en-US" w:eastAsia="zh-CN"/>
              </w:rPr>
              <w:t>0.</w:t>
            </w:r>
            <w:r>
              <w:rPr>
                <w:rFonts w:hint="eastAsia" w:cs="Times New Roman"/>
                <w:b w:val="0"/>
                <w:bCs w:val="0"/>
                <w:color w:val="000000"/>
                <w:sz w:val="21"/>
                <w:szCs w:val="21"/>
                <w:highlight w:val="none"/>
                <w:vertAlign w:val="baseline"/>
                <w:lang w:val="en-US" w:eastAsia="zh-CN"/>
              </w:rPr>
              <w:t>2905</w:t>
            </w:r>
          </w:p>
        </w:tc>
        <w:tc>
          <w:tcPr>
            <w:tcW w:w="422" w:type="pct"/>
            <w:noWrap w:val="0"/>
            <w:vAlign w:val="center"/>
          </w:tcPr>
          <w:p w14:paraId="6A85D7F8">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2"/>
                <w:sz w:val="21"/>
                <w:szCs w:val="21"/>
                <w:highlight w:val="none"/>
                <w:u w:val="none"/>
                <w:lang w:val="en-US" w:eastAsia="zh-CN" w:bidi="ar-SA"/>
              </w:rPr>
              <w:t>+</w:t>
            </w:r>
            <w:r>
              <w:rPr>
                <w:rFonts w:hint="eastAsia" w:ascii="Times New Roman" w:hAnsi="Times New Roman" w:eastAsia="宋体" w:cs="Times New Roman"/>
                <w:b w:val="0"/>
                <w:bCs w:val="0"/>
                <w:color w:val="000000"/>
                <w:sz w:val="21"/>
                <w:szCs w:val="21"/>
                <w:highlight w:val="none"/>
                <w:vertAlign w:val="baseline"/>
                <w:lang w:val="en-US" w:eastAsia="zh-CN"/>
              </w:rPr>
              <w:t>0.</w:t>
            </w:r>
            <w:r>
              <w:rPr>
                <w:rFonts w:hint="eastAsia" w:cs="Times New Roman"/>
                <w:b w:val="0"/>
                <w:bCs w:val="0"/>
                <w:color w:val="000000"/>
                <w:sz w:val="21"/>
                <w:szCs w:val="21"/>
                <w:highlight w:val="none"/>
                <w:vertAlign w:val="baseline"/>
                <w:lang w:val="en-US" w:eastAsia="zh-CN"/>
              </w:rPr>
              <w:t>2905</w:t>
            </w:r>
          </w:p>
        </w:tc>
      </w:tr>
      <w:tr w14:paraId="55A13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17F5C82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eastAsia="zh-CN"/>
              </w:rPr>
            </w:pPr>
          </w:p>
        </w:tc>
        <w:tc>
          <w:tcPr>
            <w:tcW w:w="513" w:type="pct"/>
            <w:noWrap w:val="0"/>
            <w:vAlign w:val="center"/>
          </w:tcPr>
          <w:p w14:paraId="478280E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二氧化硫</w:t>
            </w:r>
          </w:p>
        </w:tc>
        <w:tc>
          <w:tcPr>
            <w:tcW w:w="616" w:type="pct"/>
            <w:noWrap w:val="0"/>
            <w:vAlign w:val="center"/>
          </w:tcPr>
          <w:p w14:paraId="1FC3427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w:t>
            </w:r>
          </w:p>
        </w:tc>
        <w:tc>
          <w:tcPr>
            <w:tcW w:w="462" w:type="pct"/>
            <w:noWrap w:val="0"/>
            <w:vAlign w:val="center"/>
          </w:tcPr>
          <w:p w14:paraId="4A0B981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616" w:type="pct"/>
            <w:noWrap w:val="0"/>
            <w:vAlign w:val="center"/>
          </w:tcPr>
          <w:p w14:paraId="651EACF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565" w:type="pct"/>
            <w:noWrap w:val="0"/>
            <w:vAlign w:val="center"/>
          </w:tcPr>
          <w:p w14:paraId="70E137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0.011</w:t>
            </w:r>
          </w:p>
        </w:tc>
        <w:tc>
          <w:tcPr>
            <w:tcW w:w="638" w:type="pct"/>
            <w:noWrap w:val="0"/>
            <w:vAlign w:val="center"/>
          </w:tcPr>
          <w:p w14:paraId="3239824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87" w:type="pct"/>
            <w:noWrap w:val="0"/>
            <w:vAlign w:val="center"/>
          </w:tcPr>
          <w:p w14:paraId="190779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0.011</w:t>
            </w:r>
          </w:p>
        </w:tc>
        <w:tc>
          <w:tcPr>
            <w:tcW w:w="422" w:type="pct"/>
            <w:noWrap w:val="0"/>
            <w:vAlign w:val="center"/>
          </w:tcPr>
          <w:p w14:paraId="6D5508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+0.011</w:t>
            </w:r>
          </w:p>
        </w:tc>
      </w:tr>
      <w:tr w14:paraId="405C2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790D44F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eastAsia="zh-CN"/>
              </w:rPr>
            </w:pPr>
          </w:p>
        </w:tc>
        <w:tc>
          <w:tcPr>
            <w:tcW w:w="513" w:type="pct"/>
            <w:noWrap w:val="0"/>
            <w:vAlign w:val="center"/>
          </w:tcPr>
          <w:p w14:paraId="3969DE48">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氮氧化物</w:t>
            </w:r>
          </w:p>
        </w:tc>
        <w:tc>
          <w:tcPr>
            <w:tcW w:w="616" w:type="pct"/>
            <w:noWrap w:val="0"/>
            <w:vAlign w:val="center"/>
          </w:tcPr>
          <w:p w14:paraId="1AE9B4E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w:t>
            </w:r>
          </w:p>
        </w:tc>
        <w:tc>
          <w:tcPr>
            <w:tcW w:w="462" w:type="pct"/>
            <w:noWrap w:val="0"/>
            <w:vAlign w:val="center"/>
          </w:tcPr>
          <w:p w14:paraId="4A57220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616" w:type="pct"/>
            <w:noWrap w:val="0"/>
            <w:vAlign w:val="center"/>
          </w:tcPr>
          <w:p w14:paraId="3478104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565" w:type="pct"/>
            <w:noWrap w:val="0"/>
            <w:vAlign w:val="center"/>
          </w:tcPr>
          <w:p w14:paraId="75C52B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0.0963</w:t>
            </w:r>
          </w:p>
        </w:tc>
        <w:tc>
          <w:tcPr>
            <w:tcW w:w="638" w:type="pct"/>
            <w:noWrap w:val="0"/>
            <w:vAlign w:val="center"/>
          </w:tcPr>
          <w:p w14:paraId="68FFE9E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val="en-US" w:eastAsia="zh-CN" w:bidi="ar-SA"/>
              </w:rPr>
            </w:pPr>
            <w:r>
              <w:rPr>
                <w:rFonts w:hint="eastAsia" w:ascii="Times New Roman" w:cs="Times New Roman"/>
                <w:snapToGrid w:val="0"/>
                <w:color w:val="auto"/>
                <w:kern w:val="21"/>
                <w:sz w:val="21"/>
                <w:szCs w:val="21"/>
                <w:highlight w:val="none"/>
                <w:shd w:val="clear" w:color="auto" w:fill="auto"/>
                <w:lang w:val="en-US" w:eastAsia="zh-CN"/>
              </w:rPr>
              <w:t>--</w:t>
            </w:r>
          </w:p>
        </w:tc>
        <w:tc>
          <w:tcPr>
            <w:tcW w:w="587" w:type="pct"/>
            <w:noWrap w:val="0"/>
            <w:vAlign w:val="center"/>
          </w:tcPr>
          <w:p w14:paraId="65B97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0.0963</w:t>
            </w:r>
          </w:p>
        </w:tc>
        <w:tc>
          <w:tcPr>
            <w:tcW w:w="422" w:type="pct"/>
            <w:noWrap w:val="0"/>
            <w:vAlign w:val="center"/>
          </w:tcPr>
          <w:p w14:paraId="614B1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+0.0963</w:t>
            </w:r>
          </w:p>
        </w:tc>
      </w:tr>
      <w:tr w14:paraId="2CF40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39399CC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eastAsia="zh-CN"/>
              </w:rPr>
            </w:pPr>
          </w:p>
        </w:tc>
        <w:tc>
          <w:tcPr>
            <w:tcW w:w="513" w:type="pct"/>
            <w:noWrap w:val="0"/>
            <w:vAlign w:val="center"/>
          </w:tcPr>
          <w:p w14:paraId="7F5AA96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颗粒物</w:t>
            </w:r>
          </w:p>
        </w:tc>
        <w:tc>
          <w:tcPr>
            <w:tcW w:w="616" w:type="pct"/>
            <w:noWrap w:val="0"/>
            <w:vAlign w:val="center"/>
          </w:tcPr>
          <w:p w14:paraId="30CBB02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w:t>
            </w:r>
          </w:p>
        </w:tc>
        <w:tc>
          <w:tcPr>
            <w:tcW w:w="462" w:type="pct"/>
            <w:noWrap w:val="0"/>
            <w:vAlign w:val="center"/>
          </w:tcPr>
          <w:p w14:paraId="64CAE4F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616" w:type="pct"/>
            <w:noWrap w:val="0"/>
            <w:vAlign w:val="center"/>
          </w:tcPr>
          <w:p w14:paraId="42F14EB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565" w:type="pct"/>
            <w:noWrap w:val="0"/>
            <w:vAlign w:val="center"/>
          </w:tcPr>
          <w:p w14:paraId="120F1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0.0043</w:t>
            </w:r>
          </w:p>
        </w:tc>
        <w:tc>
          <w:tcPr>
            <w:tcW w:w="638" w:type="pct"/>
            <w:noWrap w:val="0"/>
            <w:vAlign w:val="center"/>
          </w:tcPr>
          <w:p w14:paraId="0931089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val="en-US" w:eastAsia="zh-CN" w:bidi="ar-SA"/>
              </w:rPr>
            </w:pPr>
            <w:r>
              <w:rPr>
                <w:rFonts w:hint="eastAsia" w:ascii="Times New Roman" w:cs="Times New Roman"/>
                <w:snapToGrid w:val="0"/>
                <w:color w:val="auto"/>
                <w:kern w:val="21"/>
                <w:sz w:val="21"/>
                <w:szCs w:val="21"/>
                <w:highlight w:val="none"/>
                <w:shd w:val="clear" w:color="auto" w:fill="auto"/>
                <w:lang w:val="en-US" w:eastAsia="zh-CN"/>
              </w:rPr>
              <w:t>--</w:t>
            </w:r>
          </w:p>
        </w:tc>
        <w:tc>
          <w:tcPr>
            <w:tcW w:w="587" w:type="pct"/>
            <w:noWrap w:val="0"/>
            <w:vAlign w:val="center"/>
          </w:tcPr>
          <w:p w14:paraId="2F2D5C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0.0043</w:t>
            </w:r>
          </w:p>
        </w:tc>
        <w:tc>
          <w:tcPr>
            <w:tcW w:w="422" w:type="pct"/>
            <w:noWrap w:val="0"/>
            <w:vAlign w:val="center"/>
          </w:tcPr>
          <w:p w14:paraId="673A56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+0.0043</w:t>
            </w:r>
          </w:p>
        </w:tc>
      </w:tr>
      <w:tr w14:paraId="4F4E8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restart"/>
            <w:noWrap w:val="0"/>
            <w:vAlign w:val="center"/>
          </w:tcPr>
          <w:p w14:paraId="2DD5A75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default" w:ascii="Times New Roman" w:hAnsi="Times New Roman" w:eastAsia="宋体" w:cs="Times New Roman"/>
                <w:snapToGrid w:val="0"/>
                <w:color w:val="000000"/>
                <w:kern w:val="21"/>
                <w:sz w:val="21"/>
                <w:szCs w:val="21"/>
                <w:highlight w:val="none"/>
                <w:shd w:val="clear" w:color="auto" w:fill="auto"/>
              </w:rPr>
              <w:t>废水</w:t>
            </w:r>
          </w:p>
        </w:tc>
        <w:tc>
          <w:tcPr>
            <w:tcW w:w="513" w:type="pct"/>
            <w:noWrap w:val="0"/>
            <w:vAlign w:val="center"/>
          </w:tcPr>
          <w:p w14:paraId="12E49C95">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废水量</w:t>
            </w:r>
          </w:p>
        </w:tc>
        <w:tc>
          <w:tcPr>
            <w:tcW w:w="616" w:type="pct"/>
            <w:noWrap w:val="0"/>
            <w:vAlign w:val="center"/>
          </w:tcPr>
          <w:p w14:paraId="7B1E328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val="0"/>
                <w:color w:val="000000"/>
                <w:kern w:val="2"/>
                <w:sz w:val="21"/>
                <w:szCs w:val="21"/>
                <w:highlight w:val="none"/>
                <w:vertAlign w:val="baseline"/>
                <w:lang w:val="en-US" w:eastAsia="zh-CN" w:bidi="ar-SA"/>
              </w:rPr>
              <w:t>2970</w:t>
            </w:r>
          </w:p>
        </w:tc>
        <w:tc>
          <w:tcPr>
            <w:tcW w:w="462" w:type="pct"/>
            <w:noWrap w:val="0"/>
            <w:vAlign w:val="center"/>
          </w:tcPr>
          <w:p w14:paraId="308ABA3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616" w:type="pct"/>
            <w:noWrap w:val="0"/>
            <w:vAlign w:val="center"/>
          </w:tcPr>
          <w:p w14:paraId="77FA609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565" w:type="pct"/>
            <w:noWrap w:val="0"/>
            <w:vAlign w:val="center"/>
          </w:tcPr>
          <w:p w14:paraId="415C1EA9">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2970</w:t>
            </w:r>
          </w:p>
        </w:tc>
        <w:tc>
          <w:tcPr>
            <w:tcW w:w="638" w:type="pct"/>
            <w:noWrap w:val="0"/>
            <w:vAlign w:val="center"/>
          </w:tcPr>
          <w:p w14:paraId="0AAF091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587" w:type="pct"/>
            <w:noWrap w:val="0"/>
            <w:vAlign w:val="center"/>
          </w:tcPr>
          <w:p w14:paraId="549729C0">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2970</w:t>
            </w:r>
          </w:p>
        </w:tc>
        <w:tc>
          <w:tcPr>
            <w:tcW w:w="422" w:type="pct"/>
            <w:noWrap w:val="0"/>
            <w:vAlign w:val="center"/>
          </w:tcPr>
          <w:p w14:paraId="0A5980F3">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cs="Times New Roman"/>
                <w:bCs/>
                <w:i w:val="0"/>
                <w:iCs w:val="0"/>
                <w:color w:val="000000"/>
                <w:kern w:val="0"/>
                <w:sz w:val="21"/>
                <w:szCs w:val="21"/>
                <w:highlight w:val="none"/>
                <w:u w:val="none"/>
                <w:lang w:val="en-US" w:eastAsia="zh-CN" w:bidi="ar"/>
              </w:rPr>
              <w:t>0</w:t>
            </w:r>
          </w:p>
        </w:tc>
      </w:tr>
      <w:tr w14:paraId="69D1E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534084E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p>
        </w:tc>
        <w:tc>
          <w:tcPr>
            <w:tcW w:w="513" w:type="pct"/>
            <w:noWrap w:val="0"/>
            <w:vAlign w:val="center"/>
          </w:tcPr>
          <w:p w14:paraId="025A5FD5">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p>
        </w:tc>
        <w:tc>
          <w:tcPr>
            <w:tcW w:w="616" w:type="pct"/>
            <w:noWrap w:val="0"/>
            <w:vAlign w:val="center"/>
          </w:tcPr>
          <w:p w14:paraId="230BF3F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ascii="Times New Roman" w:hAnsi="Times New Roman" w:eastAsia="宋体" w:cs="Times New Roman"/>
                <w:b w:val="0"/>
                <w:bCs w:val="0"/>
                <w:color w:val="000000"/>
                <w:kern w:val="2"/>
                <w:sz w:val="21"/>
                <w:szCs w:val="21"/>
                <w:highlight w:val="none"/>
                <w:vertAlign w:val="baseline"/>
                <w:lang w:val="en-US" w:eastAsia="zh-CN" w:bidi="ar-SA"/>
              </w:rPr>
              <w:t>0.1</w:t>
            </w:r>
            <w:r>
              <w:rPr>
                <w:rFonts w:hint="eastAsia" w:cs="Times New Roman"/>
                <w:b w:val="0"/>
                <w:bCs w:val="0"/>
                <w:color w:val="000000"/>
                <w:kern w:val="2"/>
                <w:sz w:val="21"/>
                <w:szCs w:val="21"/>
                <w:highlight w:val="none"/>
                <w:vertAlign w:val="baseline"/>
                <w:lang w:val="en-US" w:eastAsia="zh-CN" w:bidi="ar-SA"/>
              </w:rPr>
              <w:t>78</w:t>
            </w:r>
          </w:p>
        </w:tc>
        <w:tc>
          <w:tcPr>
            <w:tcW w:w="462" w:type="pct"/>
            <w:noWrap w:val="0"/>
            <w:vAlign w:val="center"/>
          </w:tcPr>
          <w:p w14:paraId="7115B0C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2284B07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5603BCBE">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0.1</w:t>
            </w:r>
            <w:r>
              <w:rPr>
                <w:rFonts w:hint="eastAsia" w:cs="Times New Roman"/>
                <w:color w:val="auto"/>
                <w:kern w:val="2"/>
                <w:sz w:val="21"/>
                <w:szCs w:val="21"/>
                <w:highlight w:val="none"/>
                <w:vertAlign w:val="baseline"/>
                <w:lang w:val="en-US" w:eastAsia="zh-CN" w:bidi="ar-SA"/>
              </w:rPr>
              <w:t>49</w:t>
            </w:r>
          </w:p>
        </w:tc>
        <w:tc>
          <w:tcPr>
            <w:tcW w:w="638" w:type="pct"/>
            <w:noWrap w:val="0"/>
            <w:vAlign w:val="center"/>
          </w:tcPr>
          <w:p w14:paraId="51BBEAC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rPr>
            </w:pPr>
            <w:r>
              <w:rPr>
                <w:rFonts w:hint="eastAsia" w:ascii="Times New Roman" w:cs="Times New Roman"/>
                <w:snapToGrid w:val="0"/>
                <w:color w:val="auto"/>
                <w:kern w:val="21"/>
                <w:sz w:val="21"/>
                <w:szCs w:val="21"/>
                <w:highlight w:val="none"/>
                <w:shd w:val="clear" w:color="auto" w:fill="auto"/>
                <w:lang w:val="en-US" w:eastAsia="zh-CN"/>
              </w:rPr>
              <w:t>0.029</w:t>
            </w:r>
          </w:p>
        </w:tc>
        <w:tc>
          <w:tcPr>
            <w:tcW w:w="587" w:type="pct"/>
            <w:noWrap w:val="0"/>
            <w:vAlign w:val="center"/>
          </w:tcPr>
          <w:p w14:paraId="0E5267A3">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vertAlign w:val="baseline"/>
                <w:lang w:val="en-US" w:eastAsia="zh-CN" w:bidi="ar-SA"/>
              </w:rPr>
              <w:t>0.1</w:t>
            </w:r>
            <w:r>
              <w:rPr>
                <w:rFonts w:hint="eastAsia" w:cs="Times New Roman"/>
                <w:color w:val="auto"/>
                <w:kern w:val="2"/>
                <w:sz w:val="21"/>
                <w:szCs w:val="21"/>
                <w:highlight w:val="none"/>
                <w:vertAlign w:val="baseline"/>
                <w:lang w:val="en-US" w:eastAsia="zh-CN" w:bidi="ar-SA"/>
              </w:rPr>
              <w:t>49</w:t>
            </w:r>
          </w:p>
        </w:tc>
        <w:tc>
          <w:tcPr>
            <w:tcW w:w="422" w:type="pct"/>
            <w:noWrap w:val="0"/>
            <w:vAlign w:val="center"/>
          </w:tcPr>
          <w:p w14:paraId="682C2F9D">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29</w:t>
            </w:r>
          </w:p>
        </w:tc>
      </w:tr>
      <w:tr w14:paraId="2A853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3AB4A1F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p>
        </w:tc>
        <w:tc>
          <w:tcPr>
            <w:tcW w:w="513" w:type="pct"/>
            <w:noWrap w:val="0"/>
            <w:vAlign w:val="center"/>
          </w:tcPr>
          <w:p w14:paraId="1A40A508">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616" w:type="pct"/>
            <w:noWrap w:val="0"/>
            <w:vAlign w:val="center"/>
          </w:tcPr>
          <w:p w14:paraId="1C0FFF4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vertAlign w:val="superscript"/>
                <w:lang w:val="en-US" w:eastAsia="zh-CN" w:bidi="ar-SA"/>
              </w:rPr>
            </w:pPr>
            <w:r>
              <w:rPr>
                <w:rFonts w:hint="eastAsia" w:ascii="Times New Roman" w:hAnsi="Times New Roman" w:eastAsia="宋体" w:cs="Times New Roman"/>
                <w:b w:val="0"/>
                <w:bCs w:val="0"/>
                <w:color w:val="000000"/>
                <w:kern w:val="2"/>
                <w:sz w:val="21"/>
                <w:szCs w:val="21"/>
                <w:highlight w:val="none"/>
                <w:vertAlign w:val="baseline"/>
                <w:lang w:val="en-US" w:eastAsia="zh-CN" w:bidi="ar-SA"/>
              </w:rPr>
              <w:t>0.0</w:t>
            </w:r>
            <w:r>
              <w:rPr>
                <w:rFonts w:hint="eastAsia" w:cs="Times New Roman"/>
                <w:b w:val="0"/>
                <w:bCs w:val="0"/>
                <w:color w:val="000000"/>
                <w:kern w:val="2"/>
                <w:sz w:val="21"/>
                <w:szCs w:val="21"/>
                <w:highlight w:val="none"/>
                <w:vertAlign w:val="baseline"/>
                <w:lang w:val="en-US" w:eastAsia="zh-CN" w:bidi="ar-SA"/>
              </w:rPr>
              <w:t>59</w:t>
            </w:r>
          </w:p>
        </w:tc>
        <w:tc>
          <w:tcPr>
            <w:tcW w:w="462" w:type="pct"/>
            <w:noWrap w:val="0"/>
            <w:vAlign w:val="center"/>
          </w:tcPr>
          <w:p w14:paraId="5C16996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2810E19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5C67806D">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w:t>
            </w:r>
            <w:r>
              <w:rPr>
                <w:rFonts w:hint="eastAsia" w:cs="Times New Roman"/>
                <w:color w:val="auto"/>
                <w:kern w:val="2"/>
                <w:sz w:val="21"/>
                <w:szCs w:val="21"/>
                <w:highlight w:val="none"/>
                <w:vertAlign w:val="baseline"/>
                <w:lang w:val="en-US" w:eastAsia="zh-CN" w:bidi="ar-SA"/>
              </w:rPr>
              <w:t>30</w:t>
            </w:r>
          </w:p>
        </w:tc>
        <w:tc>
          <w:tcPr>
            <w:tcW w:w="638" w:type="pct"/>
            <w:noWrap w:val="0"/>
            <w:vAlign w:val="center"/>
          </w:tcPr>
          <w:p w14:paraId="04F0F7F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0.029</w:t>
            </w:r>
          </w:p>
        </w:tc>
        <w:tc>
          <w:tcPr>
            <w:tcW w:w="587" w:type="pct"/>
            <w:noWrap w:val="0"/>
            <w:vAlign w:val="center"/>
          </w:tcPr>
          <w:p w14:paraId="6E0C503F">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vertAlign w:val="baseline"/>
                <w:lang w:val="en-US" w:eastAsia="zh-CN" w:bidi="ar-SA"/>
              </w:rPr>
              <w:t>0.0</w:t>
            </w:r>
            <w:r>
              <w:rPr>
                <w:rFonts w:hint="eastAsia" w:cs="Times New Roman"/>
                <w:color w:val="auto"/>
                <w:kern w:val="2"/>
                <w:sz w:val="21"/>
                <w:szCs w:val="21"/>
                <w:highlight w:val="none"/>
                <w:vertAlign w:val="baseline"/>
                <w:lang w:val="en-US" w:eastAsia="zh-CN" w:bidi="ar-SA"/>
              </w:rPr>
              <w:t>30</w:t>
            </w:r>
          </w:p>
        </w:tc>
        <w:tc>
          <w:tcPr>
            <w:tcW w:w="422" w:type="pct"/>
            <w:noWrap w:val="0"/>
            <w:vAlign w:val="center"/>
          </w:tcPr>
          <w:p w14:paraId="455C2B10">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29</w:t>
            </w:r>
          </w:p>
        </w:tc>
      </w:tr>
      <w:tr w14:paraId="64041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413EB58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p>
        </w:tc>
        <w:tc>
          <w:tcPr>
            <w:tcW w:w="513" w:type="pct"/>
            <w:noWrap w:val="0"/>
            <w:vAlign w:val="center"/>
          </w:tcPr>
          <w:p w14:paraId="221ABD14">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SS</w:t>
            </w:r>
          </w:p>
        </w:tc>
        <w:tc>
          <w:tcPr>
            <w:tcW w:w="616" w:type="pct"/>
            <w:noWrap w:val="0"/>
            <w:vAlign w:val="center"/>
          </w:tcPr>
          <w:p w14:paraId="2F0373D9">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vertAlign w:val="superscript"/>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59</w:t>
            </w:r>
          </w:p>
        </w:tc>
        <w:tc>
          <w:tcPr>
            <w:tcW w:w="462" w:type="pct"/>
            <w:noWrap w:val="0"/>
            <w:vAlign w:val="center"/>
          </w:tcPr>
          <w:p w14:paraId="40EA6A6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5793CC4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71891F27">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w:t>
            </w:r>
            <w:r>
              <w:rPr>
                <w:rFonts w:hint="eastAsia" w:cs="Times New Roman"/>
                <w:color w:val="auto"/>
                <w:kern w:val="2"/>
                <w:sz w:val="21"/>
                <w:szCs w:val="21"/>
                <w:highlight w:val="none"/>
                <w:vertAlign w:val="baseline"/>
                <w:lang w:val="en-US" w:eastAsia="zh-CN" w:bidi="ar-SA"/>
              </w:rPr>
              <w:t>30</w:t>
            </w:r>
          </w:p>
        </w:tc>
        <w:tc>
          <w:tcPr>
            <w:tcW w:w="638" w:type="pct"/>
            <w:noWrap w:val="0"/>
            <w:vAlign w:val="center"/>
          </w:tcPr>
          <w:p w14:paraId="11878E4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0.029</w:t>
            </w:r>
          </w:p>
        </w:tc>
        <w:tc>
          <w:tcPr>
            <w:tcW w:w="587" w:type="pct"/>
            <w:noWrap w:val="0"/>
            <w:vAlign w:val="center"/>
          </w:tcPr>
          <w:p w14:paraId="625B2169">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vertAlign w:val="baseline"/>
                <w:lang w:val="en-US" w:eastAsia="zh-CN" w:bidi="ar-SA"/>
              </w:rPr>
              <w:t>0.0</w:t>
            </w:r>
            <w:r>
              <w:rPr>
                <w:rFonts w:hint="eastAsia" w:cs="Times New Roman"/>
                <w:color w:val="auto"/>
                <w:kern w:val="2"/>
                <w:sz w:val="21"/>
                <w:szCs w:val="21"/>
                <w:highlight w:val="none"/>
                <w:vertAlign w:val="baseline"/>
                <w:lang w:val="en-US" w:eastAsia="zh-CN" w:bidi="ar-SA"/>
              </w:rPr>
              <w:t>30</w:t>
            </w:r>
          </w:p>
        </w:tc>
        <w:tc>
          <w:tcPr>
            <w:tcW w:w="422" w:type="pct"/>
            <w:noWrap w:val="0"/>
            <w:vAlign w:val="center"/>
          </w:tcPr>
          <w:p w14:paraId="17DC697A">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29</w:t>
            </w:r>
          </w:p>
        </w:tc>
      </w:tr>
      <w:tr w14:paraId="7A22B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694085B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p>
        </w:tc>
        <w:tc>
          <w:tcPr>
            <w:tcW w:w="513" w:type="pct"/>
            <w:noWrap w:val="0"/>
            <w:vAlign w:val="center"/>
          </w:tcPr>
          <w:p w14:paraId="0E46BD87">
            <w:pPr>
              <w:pStyle w:val="6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baseline"/>
                <w:lang w:val="en-US" w:eastAsia="zh-CN"/>
              </w:rPr>
              <w:t>-N</w:t>
            </w:r>
          </w:p>
        </w:tc>
        <w:tc>
          <w:tcPr>
            <w:tcW w:w="616" w:type="pct"/>
            <w:noWrap w:val="0"/>
            <w:vAlign w:val="center"/>
          </w:tcPr>
          <w:p w14:paraId="580C11F7">
            <w:pPr>
              <w:keepNext w:val="0"/>
              <w:keepLines w:val="0"/>
              <w:widowControl/>
              <w:suppressLineNumbers w:val="0"/>
              <w:jc w:val="center"/>
              <w:textAlignment w:val="center"/>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0.024</w:t>
            </w:r>
          </w:p>
        </w:tc>
        <w:tc>
          <w:tcPr>
            <w:tcW w:w="462" w:type="pct"/>
            <w:noWrap w:val="0"/>
            <w:vAlign w:val="center"/>
          </w:tcPr>
          <w:p w14:paraId="6CCB4CE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7CEBFD4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4B009DFA">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w:t>
            </w:r>
            <w:r>
              <w:rPr>
                <w:rFonts w:hint="eastAsia" w:cs="Times New Roman"/>
                <w:color w:val="auto"/>
                <w:kern w:val="2"/>
                <w:sz w:val="21"/>
                <w:szCs w:val="21"/>
                <w:highlight w:val="none"/>
                <w:vertAlign w:val="baseline"/>
                <w:lang w:val="en-US" w:eastAsia="zh-CN" w:bidi="ar-SA"/>
              </w:rPr>
              <w:t>15</w:t>
            </w:r>
          </w:p>
        </w:tc>
        <w:tc>
          <w:tcPr>
            <w:tcW w:w="638" w:type="pct"/>
            <w:noWrap w:val="0"/>
            <w:vAlign w:val="center"/>
          </w:tcPr>
          <w:p w14:paraId="3C383F6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rPr>
            </w:pPr>
            <w:r>
              <w:rPr>
                <w:rFonts w:hint="eastAsia" w:ascii="Times New Roman" w:cs="Times New Roman"/>
                <w:snapToGrid w:val="0"/>
                <w:color w:val="auto"/>
                <w:kern w:val="21"/>
                <w:sz w:val="21"/>
                <w:szCs w:val="21"/>
                <w:highlight w:val="none"/>
                <w:shd w:val="clear" w:color="auto" w:fill="auto"/>
                <w:lang w:val="en-US" w:eastAsia="zh-CN"/>
              </w:rPr>
              <w:t>0.009</w:t>
            </w:r>
          </w:p>
        </w:tc>
        <w:tc>
          <w:tcPr>
            <w:tcW w:w="587" w:type="pct"/>
            <w:noWrap w:val="0"/>
            <w:vAlign w:val="center"/>
          </w:tcPr>
          <w:p w14:paraId="755BB6D1">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vertAlign w:val="baseline"/>
                <w:lang w:val="en-US" w:eastAsia="zh-CN" w:bidi="ar-SA"/>
              </w:rPr>
              <w:t>0.0</w:t>
            </w:r>
            <w:r>
              <w:rPr>
                <w:rFonts w:hint="eastAsia" w:cs="Times New Roman"/>
                <w:color w:val="auto"/>
                <w:kern w:val="2"/>
                <w:sz w:val="21"/>
                <w:szCs w:val="21"/>
                <w:highlight w:val="none"/>
                <w:vertAlign w:val="baseline"/>
                <w:lang w:val="en-US" w:eastAsia="zh-CN" w:bidi="ar-SA"/>
              </w:rPr>
              <w:t>15</w:t>
            </w:r>
          </w:p>
        </w:tc>
        <w:tc>
          <w:tcPr>
            <w:tcW w:w="422" w:type="pct"/>
            <w:noWrap w:val="0"/>
            <w:vAlign w:val="center"/>
          </w:tcPr>
          <w:p w14:paraId="3C0C9249">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bCs/>
                <w:i w:val="0"/>
                <w:iCs w:val="0"/>
                <w:color w:val="000000"/>
                <w:kern w:val="0"/>
                <w:sz w:val="21"/>
                <w:szCs w:val="21"/>
                <w:highlight w:val="none"/>
                <w:u w:val="none"/>
                <w:lang w:val="en-US" w:eastAsia="zh-CN" w:bidi="ar"/>
              </w:rPr>
              <w:t>-0.0</w:t>
            </w:r>
            <w:r>
              <w:rPr>
                <w:rFonts w:hint="eastAsia" w:cs="Times New Roman"/>
                <w:bCs/>
                <w:i w:val="0"/>
                <w:iCs w:val="0"/>
                <w:color w:val="000000"/>
                <w:kern w:val="0"/>
                <w:sz w:val="21"/>
                <w:szCs w:val="21"/>
                <w:highlight w:val="none"/>
                <w:u w:val="none"/>
                <w:lang w:val="en-US" w:eastAsia="zh-CN" w:bidi="ar"/>
              </w:rPr>
              <w:t>09</w:t>
            </w:r>
          </w:p>
        </w:tc>
      </w:tr>
      <w:tr w14:paraId="7812C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76" w:type="pct"/>
            <w:noWrap w:val="0"/>
            <w:vAlign w:val="center"/>
          </w:tcPr>
          <w:p w14:paraId="5197508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000000"/>
                <w:kern w:val="21"/>
                <w:sz w:val="21"/>
                <w:szCs w:val="21"/>
                <w:highlight w:val="none"/>
                <w:shd w:val="clear" w:color="auto" w:fill="auto"/>
                <w:lang w:val="en-US" w:eastAsia="zh-CN"/>
              </w:rPr>
              <w:t>/</w:t>
            </w:r>
          </w:p>
        </w:tc>
        <w:tc>
          <w:tcPr>
            <w:tcW w:w="513" w:type="pct"/>
            <w:noWrap w:val="0"/>
            <w:vAlign w:val="center"/>
          </w:tcPr>
          <w:p w14:paraId="2D30EA5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eastAsia="zh-CN"/>
              </w:rPr>
            </w:pPr>
            <w:r>
              <w:rPr>
                <w:rFonts w:hint="default" w:ascii="Times New Roman" w:hAnsi="Times New Roman" w:eastAsia="宋体" w:cs="Times New Roman"/>
                <w:snapToGrid w:val="0"/>
                <w:color w:val="000000"/>
                <w:kern w:val="21"/>
                <w:sz w:val="21"/>
                <w:szCs w:val="21"/>
                <w:highlight w:val="none"/>
                <w:shd w:val="clear" w:color="auto" w:fill="auto"/>
                <w:lang w:eastAsia="zh-CN"/>
              </w:rPr>
              <w:t>生活垃圾</w:t>
            </w:r>
          </w:p>
        </w:tc>
        <w:tc>
          <w:tcPr>
            <w:tcW w:w="616" w:type="pct"/>
            <w:noWrap w:val="0"/>
            <w:vAlign w:val="center"/>
          </w:tcPr>
          <w:p w14:paraId="1F3E40D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000000"/>
                <w:kern w:val="21"/>
                <w:sz w:val="21"/>
                <w:szCs w:val="21"/>
                <w:highlight w:val="none"/>
                <w:shd w:val="clear" w:color="auto" w:fill="auto"/>
                <w:lang w:val="en-US" w:eastAsia="zh-CN"/>
              </w:rPr>
              <w:t>9.0</w:t>
            </w:r>
          </w:p>
        </w:tc>
        <w:tc>
          <w:tcPr>
            <w:tcW w:w="462" w:type="pct"/>
            <w:noWrap w:val="0"/>
            <w:vAlign w:val="center"/>
          </w:tcPr>
          <w:p w14:paraId="2E036DB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7587E50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6948743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cs="Times New Roman"/>
                <w:snapToGrid w:val="0"/>
                <w:color w:val="000000"/>
                <w:kern w:val="21"/>
                <w:sz w:val="21"/>
                <w:szCs w:val="21"/>
                <w:highlight w:val="none"/>
                <w:shd w:val="clear" w:color="auto" w:fill="auto"/>
                <w:lang w:val="en-US" w:eastAsia="zh-CN"/>
              </w:rPr>
              <w:t>14.4</w:t>
            </w:r>
          </w:p>
        </w:tc>
        <w:tc>
          <w:tcPr>
            <w:tcW w:w="638" w:type="pct"/>
            <w:noWrap w:val="0"/>
            <w:vAlign w:val="center"/>
          </w:tcPr>
          <w:p w14:paraId="45A4CCD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87" w:type="pct"/>
            <w:noWrap w:val="0"/>
            <w:vAlign w:val="center"/>
          </w:tcPr>
          <w:p w14:paraId="11ACB43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snapToGrid w:val="0"/>
                <w:color w:val="000000"/>
                <w:kern w:val="21"/>
                <w:sz w:val="21"/>
                <w:szCs w:val="21"/>
                <w:highlight w:val="none"/>
                <w:shd w:val="clear" w:color="auto" w:fill="auto"/>
                <w:lang w:val="en-US" w:eastAsia="zh-CN"/>
              </w:rPr>
              <w:t>1</w:t>
            </w:r>
            <w:r>
              <w:rPr>
                <w:rFonts w:hint="eastAsia" w:ascii="Times New Roman" w:cs="Times New Roman"/>
                <w:snapToGrid w:val="0"/>
                <w:color w:val="000000"/>
                <w:kern w:val="21"/>
                <w:sz w:val="21"/>
                <w:szCs w:val="21"/>
                <w:highlight w:val="none"/>
                <w:shd w:val="clear" w:color="auto" w:fill="auto"/>
                <w:lang w:val="en-US" w:eastAsia="zh-CN"/>
              </w:rPr>
              <w:t>4.4</w:t>
            </w:r>
          </w:p>
        </w:tc>
        <w:tc>
          <w:tcPr>
            <w:tcW w:w="422" w:type="pct"/>
            <w:noWrap w:val="0"/>
            <w:vAlign w:val="center"/>
          </w:tcPr>
          <w:p w14:paraId="215F9F4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r>
              <w:rPr>
                <w:rFonts w:hint="eastAsia" w:ascii="Times New Roman" w:cs="Times New Roman"/>
                <w:bCs/>
                <w:i w:val="0"/>
                <w:iCs w:val="0"/>
                <w:color w:val="000000"/>
                <w:kern w:val="0"/>
                <w:sz w:val="21"/>
                <w:szCs w:val="21"/>
                <w:highlight w:val="none"/>
                <w:u w:val="none"/>
                <w:lang w:val="en-US" w:eastAsia="zh-CN" w:bidi="ar"/>
              </w:rPr>
              <w:t>5.4</w:t>
            </w:r>
          </w:p>
        </w:tc>
      </w:tr>
      <w:tr w14:paraId="5C50F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76" w:type="pct"/>
            <w:noWrap w:val="0"/>
            <w:vAlign w:val="center"/>
          </w:tcPr>
          <w:p w14:paraId="49A2C2A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eastAsia="zh-CN"/>
              </w:rPr>
            </w:pPr>
            <w:r>
              <w:rPr>
                <w:rFonts w:hint="eastAsia" w:ascii="Times New Roman" w:hAnsi="Times New Roman" w:eastAsia="宋体" w:cs="Times New Roman"/>
                <w:snapToGrid w:val="0"/>
                <w:color w:val="000000"/>
                <w:kern w:val="21"/>
                <w:sz w:val="21"/>
                <w:szCs w:val="21"/>
                <w:highlight w:val="none"/>
                <w:shd w:val="clear" w:color="auto" w:fill="auto"/>
                <w:lang w:eastAsia="zh-CN"/>
              </w:rPr>
              <w:t>一般工业固体废物</w:t>
            </w:r>
          </w:p>
        </w:tc>
        <w:tc>
          <w:tcPr>
            <w:tcW w:w="513" w:type="pct"/>
            <w:noWrap w:val="0"/>
            <w:vAlign w:val="center"/>
          </w:tcPr>
          <w:p w14:paraId="42B5B38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000000"/>
                <w:kern w:val="21"/>
                <w:sz w:val="21"/>
                <w:szCs w:val="21"/>
                <w:highlight w:val="none"/>
                <w:shd w:val="clear" w:color="auto" w:fill="auto"/>
                <w:lang w:val="en-US" w:eastAsia="zh-CN" w:bidi="ar-SA"/>
              </w:rPr>
              <w:t>废次品</w:t>
            </w:r>
          </w:p>
        </w:tc>
        <w:tc>
          <w:tcPr>
            <w:tcW w:w="616" w:type="pct"/>
            <w:noWrap w:val="0"/>
            <w:vAlign w:val="center"/>
          </w:tcPr>
          <w:p w14:paraId="054DA59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000000"/>
                <w:kern w:val="21"/>
                <w:sz w:val="21"/>
                <w:szCs w:val="21"/>
                <w:highlight w:val="none"/>
                <w:shd w:val="clear" w:color="auto" w:fill="auto"/>
                <w:lang w:val="en-US" w:eastAsia="zh-CN"/>
              </w:rPr>
              <w:t>1</w:t>
            </w:r>
          </w:p>
        </w:tc>
        <w:tc>
          <w:tcPr>
            <w:tcW w:w="462" w:type="pct"/>
            <w:noWrap w:val="0"/>
            <w:vAlign w:val="center"/>
          </w:tcPr>
          <w:p w14:paraId="28C7807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7130FFA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2347728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snapToGrid w:val="0"/>
                <w:color w:val="000000"/>
                <w:kern w:val="21"/>
                <w:sz w:val="21"/>
                <w:szCs w:val="21"/>
                <w:highlight w:val="none"/>
                <w:shd w:val="clear" w:color="auto" w:fill="auto"/>
                <w:lang w:val="en-US" w:eastAsia="zh-CN"/>
              </w:rPr>
              <w:t>1</w:t>
            </w:r>
          </w:p>
        </w:tc>
        <w:tc>
          <w:tcPr>
            <w:tcW w:w="638" w:type="pct"/>
            <w:noWrap w:val="0"/>
            <w:vAlign w:val="center"/>
          </w:tcPr>
          <w:p w14:paraId="567317B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87" w:type="pct"/>
            <w:noWrap w:val="0"/>
            <w:vAlign w:val="center"/>
          </w:tcPr>
          <w:p w14:paraId="0020D4D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snapToGrid w:val="0"/>
                <w:color w:val="000000"/>
                <w:kern w:val="21"/>
                <w:sz w:val="21"/>
                <w:szCs w:val="21"/>
                <w:highlight w:val="none"/>
                <w:shd w:val="clear" w:color="auto" w:fill="auto"/>
                <w:lang w:val="en-US" w:eastAsia="zh-CN"/>
              </w:rPr>
              <w:t>1</w:t>
            </w:r>
          </w:p>
        </w:tc>
        <w:tc>
          <w:tcPr>
            <w:tcW w:w="422" w:type="pct"/>
            <w:noWrap w:val="0"/>
            <w:vAlign w:val="center"/>
          </w:tcPr>
          <w:p w14:paraId="65B21AC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bCs/>
                <w:i w:val="0"/>
                <w:iCs w:val="0"/>
                <w:color w:val="000000"/>
                <w:kern w:val="0"/>
                <w:sz w:val="21"/>
                <w:szCs w:val="21"/>
                <w:highlight w:val="none"/>
                <w:u w:val="none"/>
                <w:lang w:val="en-US" w:eastAsia="zh-CN" w:bidi="ar"/>
              </w:rPr>
              <w:t>0</w:t>
            </w:r>
          </w:p>
        </w:tc>
      </w:tr>
      <w:tr w14:paraId="27B6E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noWrap w:val="0"/>
            <w:vAlign w:val="center"/>
          </w:tcPr>
          <w:p w14:paraId="2909532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eastAsia="zh-CN"/>
              </w:rPr>
            </w:pPr>
            <w:r>
              <w:rPr>
                <w:rFonts w:hint="eastAsia" w:ascii="Times New Roman" w:hAnsi="Times New Roman" w:eastAsia="宋体" w:cs="Times New Roman"/>
                <w:snapToGrid w:val="0"/>
                <w:color w:val="000000"/>
                <w:kern w:val="21"/>
                <w:sz w:val="21"/>
                <w:szCs w:val="21"/>
                <w:highlight w:val="none"/>
                <w:shd w:val="clear" w:color="auto" w:fill="auto"/>
                <w:lang w:val="en-US" w:eastAsia="zh-CN"/>
              </w:rPr>
              <w:t>/</w:t>
            </w:r>
          </w:p>
        </w:tc>
        <w:tc>
          <w:tcPr>
            <w:tcW w:w="513" w:type="pct"/>
            <w:noWrap w:val="0"/>
            <w:vAlign w:val="center"/>
          </w:tcPr>
          <w:p w14:paraId="7FC0DEF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eastAsia="zh-CN"/>
              </w:rPr>
            </w:pPr>
            <w:r>
              <w:rPr>
                <w:rFonts w:hint="eastAsia" w:ascii="Times New Roman" w:hAnsi="Times New Roman" w:eastAsia="宋体" w:cs="Times New Roman"/>
                <w:snapToGrid w:val="0"/>
                <w:color w:val="000000"/>
                <w:kern w:val="21"/>
                <w:sz w:val="21"/>
                <w:szCs w:val="21"/>
                <w:highlight w:val="none"/>
                <w:shd w:val="clear" w:color="auto" w:fill="auto"/>
                <w:lang w:eastAsia="zh-CN"/>
              </w:rPr>
              <w:t>原料空桶</w:t>
            </w:r>
          </w:p>
        </w:tc>
        <w:tc>
          <w:tcPr>
            <w:tcW w:w="616" w:type="pct"/>
            <w:noWrap w:val="0"/>
            <w:vAlign w:val="center"/>
          </w:tcPr>
          <w:p w14:paraId="0609FB7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000000"/>
                <w:kern w:val="21"/>
                <w:sz w:val="21"/>
                <w:szCs w:val="21"/>
                <w:highlight w:val="none"/>
                <w:shd w:val="clear" w:color="auto" w:fill="auto"/>
                <w:lang w:val="en-US" w:eastAsia="zh-CN"/>
              </w:rPr>
              <w:t>--</w:t>
            </w:r>
          </w:p>
        </w:tc>
        <w:tc>
          <w:tcPr>
            <w:tcW w:w="462" w:type="pct"/>
            <w:noWrap w:val="0"/>
            <w:vAlign w:val="center"/>
          </w:tcPr>
          <w:p w14:paraId="23983D1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5C132AC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38DC334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cs="Times New Roman"/>
                <w:snapToGrid w:val="0"/>
                <w:color w:val="000000"/>
                <w:kern w:val="21"/>
                <w:sz w:val="21"/>
                <w:szCs w:val="21"/>
                <w:highlight w:val="none"/>
                <w:shd w:val="clear" w:color="auto" w:fill="auto"/>
                <w:lang w:val="en-US" w:eastAsia="zh-CN"/>
              </w:rPr>
              <w:t>0.36</w:t>
            </w:r>
          </w:p>
        </w:tc>
        <w:tc>
          <w:tcPr>
            <w:tcW w:w="638" w:type="pct"/>
            <w:noWrap w:val="0"/>
            <w:vAlign w:val="center"/>
          </w:tcPr>
          <w:p w14:paraId="336B4BB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87" w:type="pct"/>
            <w:noWrap w:val="0"/>
            <w:vAlign w:val="center"/>
          </w:tcPr>
          <w:p w14:paraId="2EF0C92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cs="Times New Roman"/>
                <w:snapToGrid w:val="0"/>
                <w:color w:val="000000"/>
                <w:kern w:val="21"/>
                <w:sz w:val="21"/>
                <w:szCs w:val="21"/>
                <w:highlight w:val="none"/>
                <w:shd w:val="clear" w:color="auto" w:fill="auto"/>
                <w:lang w:val="en-US" w:eastAsia="zh-CN"/>
              </w:rPr>
              <w:t>0.36</w:t>
            </w:r>
          </w:p>
        </w:tc>
        <w:tc>
          <w:tcPr>
            <w:tcW w:w="422" w:type="pct"/>
            <w:noWrap w:val="0"/>
            <w:vAlign w:val="center"/>
          </w:tcPr>
          <w:p w14:paraId="15611FE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r>
              <w:rPr>
                <w:rFonts w:hint="eastAsia" w:ascii="Times New Roman" w:cs="Times New Roman"/>
                <w:bCs/>
                <w:i w:val="0"/>
                <w:iCs w:val="0"/>
                <w:color w:val="000000"/>
                <w:kern w:val="0"/>
                <w:sz w:val="21"/>
                <w:szCs w:val="21"/>
                <w:highlight w:val="none"/>
                <w:u w:val="none"/>
                <w:lang w:val="en-US" w:eastAsia="zh-CN" w:bidi="ar"/>
              </w:rPr>
              <w:t>0.36</w:t>
            </w:r>
          </w:p>
        </w:tc>
      </w:tr>
      <w:tr w14:paraId="24721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restart"/>
            <w:noWrap w:val="0"/>
            <w:vAlign w:val="center"/>
          </w:tcPr>
          <w:p w14:paraId="6067CE9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snapToGrid w:val="0"/>
                <w:color w:val="000000"/>
                <w:kern w:val="21"/>
                <w:sz w:val="21"/>
                <w:szCs w:val="21"/>
                <w:highlight w:val="none"/>
                <w:shd w:val="clear" w:color="auto" w:fill="auto"/>
                <w:lang w:val="en-US" w:eastAsia="zh-CN"/>
              </w:rPr>
              <w:t>危险废物</w:t>
            </w:r>
          </w:p>
        </w:tc>
        <w:tc>
          <w:tcPr>
            <w:tcW w:w="513" w:type="pct"/>
            <w:noWrap w:val="0"/>
            <w:vAlign w:val="center"/>
          </w:tcPr>
          <w:p w14:paraId="21D5E11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eastAsia="zh-CN"/>
              </w:rPr>
            </w:pPr>
            <w:r>
              <w:rPr>
                <w:rFonts w:hint="eastAsia" w:ascii="Times New Roman" w:hAnsi="Times New Roman" w:eastAsia="宋体" w:cs="Times New Roman"/>
                <w:snapToGrid w:val="0"/>
                <w:color w:val="000000"/>
                <w:kern w:val="21"/>
                <w:sz w:val="21"/>
                <w:szCs w:val="21"/>
                <w:highlight w:val="none"/>
                <w:shd w:val="clear" w:color="auto" w:fill="auto"/>
                <w:lang w:eastAsia="zh-CN"/>
              </w:rPr>
              <w:t>废活性炭</w:t>
            </w:r>
          </w:p>
        </w:tc>
        <w:tc>
          <w:tcPr>
            <w:tcW w:w="616" w:type="pct"/>
            <w:noWrap w:val="0"/>
            <w:vAlign w:val="center"/>
          </w:tcPr>
          <w:p w14:paraId="3B51047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462" w:type="pct"/>
            <w:noWrap w:val="0"/>
            <w:vAlign w:val="center"/>
          </w:tcPr>
          <w:p w14:paraId="5E432F4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4B8C232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04E03A8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color w:val="000000"/>
                <w:sz w:val="21"/>
                <w:szCs w:val="21"/>
                <w:highlight w:val="none"/>
                <w:lang w:val="en-US" w:eastAsia="zh-CN"/>
              </w:rPr>
              <w:t>0.</w:t>
            </w:r>
            <w:r>
              <w:rPr>
                <w:rFonts w:hint="eastAsia" w:ascii="Times New Roman" w:cs="Times New Roman"/>
                <w:color w:val="000000"/>
                <w:sz w:val="21"/>
                <w:szCs w:val="21"/>
                <w:highlight w:val="none"/>
                <w:lang w:val="en-US" w:eastAsia="zh-CN"/>
              </w:rPr>
              <w:t>913</w:t>
            </w:r>
          </w:p>
        </w:tc>
        <w:tc>
          <w:tcPr>
            <w:tcW w:w="638" w:type="pct"/>
            <w:noWrap w:val="0"/>
            <w:vAlign w:val="center"/>
          </w:tcPr>
          <w:p w14:paraId="2EE8C6C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87" w:type="pct"/>
            <w:noWrap w:val="0"/>
            <w:vAlign w:val="center"/>
          </w:tcPr>
          <w:p w14:paraId="2A00B14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snapToGrid w:val="0"/>
                <w:color w:val="000000"/>
                <w:kern w:val="21"/>
                <w:sz w:val="21"/>
                <w:szCs w:val="21"/>
                <w:highlight w:val="none"/>
                <w:shd w:val="clear" w:color="auto" w:fill="auto"/>
                <w:lang w:val="en-US" w:eastAsia="zh-CN"/>
              </w:rPr>
              <w:t>0.</w:t>
            </w:r>
            <w:r>
              <w:rPr>
                <w:rFonts w:hint="eastAsia" w:ascii="Times New Roman" w:cs="Times New Roman"/>
                <w:snapToGrid w:val="0"/>
                <w:color w:val="000000"/>
                <w:kern w:val="21"/>
                <w:sz w:val="21"/>
                <w:szCs w:val="21"/>
                <w:highlight w:val="none"/>
                <w:shd w:val="clear" w:color="auto" w:fill="auto"/>
                <w:lang w:val="en-US" w:eastAsia="zh-CN"/>
              </w:rPr>
              <w:t>913</w:t>
            </w:r>
          </w:p>
        </w:tc>
        <w:tc>
          <w:tcPr>
            <w:tcW w:w="422" w:type="pct"/>
            <w:noWrap w:val="0"/>
            <w:vAlign w:val="center"/>
          </w:tcPr>
          <w:p w14:paraId="0892259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000000"/>
                <w:kern w:val="21"/>
                <w:sz w:val="21"/>
                <w:szCs w:val="21"/>
                <w:highlight w:val="none"/>
                <w:shd w:val="clear" w:color="auto" w:fill="auto"/>
                <w:lang w:val="en-US" w:eastAsia="zh-CN"/>
              </w:rPr>
            </w:pPr>
            <w:r>
              <w:rPr>
                <w:rFonts w:hint="eastAsia" w:ascii="Times New Roman" w:hAnsi="Times New Roman" w:eastAsia="宋体" w:cs="Times New Roman"/>
                <w:bCs/>
                <w:i w:val="0"/>
                <w:iCs w:val="0"/>
                <w:color w:val="000000"/>
                <w:kern w:val="0"/>
                <w:sz w:val="21"/>
                <w:szCs w:val="21"/>
                <w:highlight w:val="none"/>
                <w:u w:val="none"/>
                <w:lang w:val="en-US" w:eastAsia="zh-CN" w:bidi="ar"/>
              </w:rPr>
              <w:t>+0.</w:t>
            </w:r>
            <w:r>
              <w:rPr>
                <w:rFonts w:hint="eastAsia" w:ascii="Times New Roman" w:cs="Times New Roman"/>
                <w:bCs/>
                <w:i w:val="0"/>
                <w:iCs w:val="0"/>
                <w:color w:val="000000"/>
                <w:kern w:val="0"/>
                <w:sz w:val="21"/>
                <w:szCs w:val="21"/>
                <w:highlight w:val="none"/>
                <w:u w:val="none"/>
                <w:lang w:val="en-US" w:eastAsia="zh-CN" w:bidi="ar"/>
              </w:rPr>
              <w:t>913</w:t>
            </w:r>
          </w:p>
        </w:tc>
      </w:tr>
      <w:tr w14:paraId="4596F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4771E1D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rPr>
            </w:pPr>
          </w:p>
        </w:tc>
        <w:tc>
          <w:tcPr>
            <w:tcW w:w="513" w:type="pct"/>
            <w:noWrap w:val="0"/>
            <w:vAlign w:val="center"/>
          </w:tcPr>
          <w:p w14:paraId="6BDF7E2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eastAsia="zh-CN"/>
              </w:rPr>
            </w:pPr>
            <w:r>
              <w:rPr>
                <w:rFonts w:hint="eastAsia" w:ascii="Times New Roman" w:hAnsi="Times New Roman" w:eastAsia="宋体" w:cs="Times New Roman"/>
                <w:snapToGrid w:val="0"/>
                <w:color w:val="000000"/>
                <w:kern w:val="21"/>
                <w:sz w:val="21"/>
                <w:szCs w:val="21"/>
                <w:highlight w:val="none"/>
                <w:shd w:val="clear" w:color="auto" w:fill="auto"/>
                <w:lang w:eastAsia="zh-CN"/>
              </w:rPr>
              <w:t>废菲林片</w:t>
            </w:r>
          </w:p>
        </w:tc>
        <w:tc>
          <w:tcPr>
            <w:tcW w:w="616" w:type="pct"/>
            <w:noWrap w:val="0"/>
            <w:vAlign w:val="center"/>
          </w:tcPr>
          <w:p w14:paraId="5C44364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62" w:type="pct"/>
            <w:noWrap w:val="0"/>
            <w:vAlign w:val="center"/>
          </w:tcPr>
          <w:p w14:paraId="04B4840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5C3BCD0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733415C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w:t>
            </w:r>
          </w:p>
        </w:tc>
        <w:tc>
          <w:tcPr>
            <w:tcW w:w="638" w:type="pct"/>
            <w:noWrap w:val="0"/>
            <w:vAlign w:val="center"/>
          </w:tcPr>
          <w:p w14:paraId="070AB3C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87" w:type="pct"/>
            <w:noWrap w:val="0"/>
            <w:vAlign w:val="center"/>
          </w:tcPr>
          <w:p w14:paraId="7F98360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w:t>
            </w:r>
          </w:p>
        </w:tc>
        <w:tc>
          <w:tcPr>
            <w:tcW w:w="422" w:type="pct"/>
            <w:noWrap w:val="0"/>
            <w:vAlign w:val="center"/>
          </w:tcPr>
          <w:p w14:paraId="2CF1073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+0.1</w:t>
            </w:r>
          </w:p>
        </w:tc>
      </w:tr>
      <w:tr w14:paraId="751BF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75D55AC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rPr>
            </w:pPr>
          </w:p>
        </w:tc>
        <w:tc>
          <w:tcPr>
            <w:tcW w:w="513" w:type="pct"/>
            <w:noWrap w:val="0"/>
            <w:vAlign w:val="center"/>
          </w:tcPr>
          <w:p w14:paraId="6BFC8EE4">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eastAsia="zh-CN"/>
              </w:rPr>
            </w:pPr>
            <w:r>
              <w:rPr>
                <w:rFonts w:hint="eastAsia" w:ascii="Times New Roman" w:hAnsi="Times New Roman" w:eastAsia="宋体" w:cs="Times New Roman"/>
                <w:snapToGrid w:val="0"/>
                <w:color w:val="000000"/>
                <w:kern w:val="21"/>
                <w:sz w:val="21"/>
                <w:szCs w:val="21"/>
                <w:highlight w:val="none"/>
                <w:shd w:val="clear" w:color="auto" w:fill="auto"/>
                <w:lang w:eastAsia="zh-CN"/>
              </w:rPr>
              <w:t>废丝印版框</w:t>
            </w:r>
          </w:p>
        </w:tc>
        <w:tc>
          <w:tcPr>
            <w:tcW w:w="616" w:type="pct"/>
            <w:noWrap w:val="0"/>
            <w:vAlign w:val="center"/>
          </w:tcPr>
          <w:p w14:paraId="5FD12465">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62" w:type="pct"/>
            <w:noWrap w:val="0"/>
            <w:vAlign w:val="center"/>
          </w:tcPr>
          <w:p w14:paraId="1171E3D9">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6AEA94F6">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60BDDE7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0.2</w:t>
            </w:r>
          </w:p>
        </w:tc>
        <w:tc>
          <w:tcPr>
            <w:tcW w:w="638" w:type="pct"/>
            <w:noWrap w:val="0"/>
            <w:vAlign w:val="center"/>
          </w:tcPr>
          <w:p w14:paraId="2C1C2E8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87" w:type="pct"/>
            <w:noWrap w:val="0"/>
            <w:vAlign w:val="center"/>
          </w:tcPr>
          <w:p w14:paraId="2FBBC118">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0.2</w:t>
            </w:r>
          </w:p>
        </w:tc>
        <w:tc>
          <w:tcPr>
            <w:tcW w:w="422" w:type="pct"/>
            <w:noWrap w:val="0"/>
            <w:vAlign w:val="center"/>
          </w:tcPr>
          <w:p w14:paraId="4772DA8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+0.2</w:t>
            </w:r>
          </w:p>
        </w:tc>
      </w:tr>
      <w:tr w14:paraId="470522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77D3FF72">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rPr>
            </w:pPr>
          </w:p>
        </w:tc>
        <w:tc>
          <w:tcPr>
            <w:tcW w:w="513" w:type="pct"/>
            <w:noWrap w:val="0"/>
            <w:vAlign w:val="center"/>
          </w:tcPr>
          <w:p w14:paraId="4A945827">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eastAsia="zh-CN"/>
              </w:rPr>
            </w:pPr>
            <w:r>
              <w:rPr>
                <w:rFonts w:hint="eastAsia" w:ascii="Times New Roman" w:hAnsi="Times New Roman" w:eastAsia="宋体" w:cs="Times New Roman"/>
                <w:snapToGrid w:val="0"/>
                <w:color w:val="000000"/>
                <w:kern w:val="21"/>
                <w:sz w:val="21"/>
                <w:szCs w:val="21"/>
                <w:highlight w:val="none"/>
                <w:shd w:val="clear" w:color="auto" w:fill="auto"/>
                <w:lang w:eastAsia="zh-CN"/>
              </w:rPr>
              <w:t>沉淀污泥</w:t>
            </w:r>
          </w:p>
        </w:tc>
        <w:tc>
          <w:tcPr>
            <w:tcW w:w="616" w:type="pct"/>
            <w:noWrap w:val="0"/>
            <w:vAlign w:val="center"/>
          </w:tcPr>
          <w:p w14:paraId="504D9F4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5.82</w:t>
            </w:r>
          </w:p>
        </w:tc>
        <w:tc>
          <w:tcPr>
            <w:tcW w:w="462" w:type="pct"/>
            <w:noWrap w:val="0"/>
            <w:vAlign w:val="center"/>
          </w:tcPr>
          <w:p w14:paraId="3C3F3541">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616" w:type="pct"/>
            <w:noWrap w:val="0"/>
            <w:vAlign w:val="center"/>
          </w:tcPr>
          <w:p w14:paraId="0B8E15A0">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65" w:type="pct"/>
            <w:noWrap w:val="0"/>
            <w:vAlign w:val="center"/>
          </w:tcPr>
          <w:p w14:paraId="4BF3B4D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0.223</w:t>
            </w:r>
          </w:p>
        </w:tc>
        <w:tc>
          <w:tcPr>
            <w:tcW w:w="638" w:type="pct"/>
            <w:noWrap w:val="0"/>
            <w:vAlign w:val="center"/>
          </w:tcPr>
          <w:p w14:paraId="1E40AB8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hAnsi="Times New Roman" w:eastAsia="宋体" w:cs="Times New Roman"/>
                <w:snapToGrid w:val="0"/>
                <w:color w:val="auto"/>
                <w:kern w:val="21"/>
                <w:sz w:val="21"/>
                <w:szCs w:val="21"/>
                <w:highlight w:val="none"/>
                <w:shd w:val="clear" w:color="auto" w:fill="auto"/>
                <w:lang w:val="en-US" w:eastAsia="zh-CN"/>
              </w:rPr>
              <w:t>--</w:t>
            </w:r>
          </w:p>
        </w:tc>
        <w:tc>
          <w:tcPr>
            <w:tcW w:w="587" w:type="pct"/>
            <w:noWrap w:val="0"/>
            <w:vAlign w:val="center"/>
          </w:tcPr>
          <w:p w14:paraId="76BB965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0.223</w:t>
            </w:r>
          </w:p>
        </w:tc>
        <w:tc>
          <w:tcPr>
            <w:tcW w:w="422" w:type="pct"/>
            <w:noWrap w:val="0"/>
            <w:vAlign w:val="center"/>
          </w:tcPr>
          <w:p w14:paraId="410B976E">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hAnsi="Times New Roman" w:eastAsia="宋体" w:cs="Times New Roman"/>
                <w:bCs/>
                <w:i w:val="0"/>
                <w:iCs w:val="0"/>
                <w:color w:val="000000"/>
                <w:kern w:val="0"/>
                <w:sz w:val="21"/>
                <w:szCs w:val="21"/>
                <w:highlight w:val="none"/>
                <w:u w:val="none"/>
                <w:lang w:val="en-US" w:eastAsia="zh-CN" w:bidi="ar"/>
              </w:rPr>
              <w:t>-</w:t>
            </w:r>
            <w:r>
              <w:rPr>
                <w:rFonts w:hint="eastAsia" w:ascii="Times New Roman" w:cs="Times New Roman"/>
                <w:bCs/>
                <w:i w:val="0"/>
                <w:iCs w:val="0"/>
                <w:color w:val="000000"/>
                <w:kern w:val="0"/>
                <w:sz w:val="21"/>
                <w:szCs w:val="21"/>
                <w:highlight w:val="none"/>
                <w:u w:val="none"/>
                <w:lang w:val="en-US" w:eastAsia="zh-CN" w:bidi="ar"/>
              </w:rPr>
              <w:t>5.597</w:t>
            </w:r>
          </w:p>
        </w:tc>
      </w:tr>
      <w:tr w14:paraId="0211C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vMerge w:val="continue"/>
            <w:noWrap w:val="0"/>
            <w:vAlign w:val="center"/>
          </w:tcPr>
          <w:p w14:paraId="139EA1C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val="en-US" w:eastAsia="zh-CN"/>
              </w:rPr>
            </w:pPr>
          </w:p>
        </w:tc>
        <w:tc>
          <w:tcPr>
            <w:tcW w:w="513" w:type="pct"/>
            <w:noWrap w:val="0"/>
            <w:vAlign w:val="center"/>
          </w:tcPr>
          <w:p w14:paraId="07BE9C4B">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shd w:val="clear" w:color="auto" w:fill="auto"/>
                <w:lang w:eastAsia="zh-CN"/>
              </w:rPr>
            </w:pPr>
            <w:r>
              <w:rPr>
                <w:rFonts w:hint="eastAsia" w:ascii="Times New Roman" w:cs="Times New Roman"/>
                <w:snapToGrid w:val="0"/>
                <w:color w:val="000000"/>
                <w:kern w:val="21"/>
                <w:sz w:val="21"/>
                <w:szCs w:val="21"/>
                <w:highlight w:val="none"/>
                <w:shd w:val="clear" w:color="auto" w:fill="auto"/>
                <w:lang w:eastAsia="zh-CN"/>
              </w:rPr>
              <w:t>破损、变形的原料空桶</w:t>
            </w:r>
          </w:p>
        </w:tc>
        <w:tc>
          <w:tcPr>
            <w:tcW w:w="616" w:type="pct"/>
            <w:noWrap w:val="0"/>
            <w:vAlign w:val="center"/>
          </w:tcPr>
          <w:p w14:paraId="5BAD71E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w:t>
            </w:r>
          </w:p>
        </w:tc>
        <w:tc>
          <w:tcPr>
            <w:tcW w:w="462" w:type="pct"/>
            <w:noWrap w:val="0"/>
            <w:vAlign w:val="center"/>
          </w:tcPr>
          <w:p w14:paraId="5A7E3683">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616" w:type="pct"/>
            <w:noWrap w:val="0"/>
            <w:vAlign w:val="center"/>
          </w:tcPr>
          <w:p w14:paraId="0076452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565" w:type="pct"/>
            <w:noWrap w:val="0"/>
            <w:vAlign w:val="center"/>
          </w:tcPr>
          <w:p w14:paraId="03741B0A">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0.04</w:t>
            </w:r>
          </w:p>
        </w:tc>
        <w:tc>
          <w:tcPr>
            <w:tcW w:w="638" w:type="pct"/>
            <w:noWrap w:val="0"/>
            <w:vAlign w:val="center"/>
          </w:tcPr>
          <w:p w14:paraId="39ED1A6D">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rPr>
            </w:pPr>
            <w:r>
              <w:rPr>
                <w:rFonts w:hint="eastAsia" w:ascii="Times New Roman" w:cs="Times New Roman"/>
                <w:snapToGrid w:val="0"/>
                <w:color w:val="auto"/>
                <w:kern w:val="21"/>
                <w:sz w:val="21"/>
                <w:szCs w:val="21"/>
                <w:highlight w:val="none"/>
                <w:shd w:val="clear" w:color="auto" w:fill="auto"/>
                <w:lang w:val="en-US" w:eastAsia="zh-CN"/>
              </w:rPr>
              <w:t>--</w:t>
            </w:r>
          </w:p>
        </w:tc>
        <w:tc>
          <w:tcPr>
            <w:tcW w:w="587" w:type="pct"/>
            <w:noWrap w:val="0"/>
            <w:vAlign w:val="center"/>
          </w:tcPr>
          <w:p w14:paraId="0BAF2FAF">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0.04</w:t>
            </w:r>
          </w:p>
        </w:tc>
        <w:tc>
          <w:tcPr>
            <w:tcW w:w="422" w:type="pct"/>
            <w:noWrap w:val="0"/>
            <w:vAlign w:val="center"/>
          </w:tcPr>
          <w:p w14:paraId="7E7692AC">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Cs/>
                <w:i w:val="0"/>
                <w:iCs w:val="0"/>
                <w:color w:val="000000"/>
                <w:kern w:val="0"/>
                <w:sz w:val="21"/>
                <w:szCs w:val="21"/>
                <w:highlight w:val="none"/>
                <w:u w:val="none"/>
                <w:lang w:val="en-US" w:eastAsia="zh-CN" w:bidi="ar"/>
              </w:rPr>
            </w:pPr>
            <w:r>
              <w:rPr>
                <w:rFonts w:hint="eastAsia" w:ascii="Times New Roman" w:cs="Times New Roman"/>
                <w:bCs/>
                <w:i w:val="0"/>
                <w:iCs w:val="0"/>
                <w:color w:val="000000"/>
                <w:kern w:val="0"/>
                <w:sz w:val="21"/>
                <w:szCs w:val="21"/>
                <w:highlight w:val="none"/>
                <w:u w:val="none"/>
                <w:lang w:val="en-US" w:eastAsia="zh-CN" w:bidi="ar"/>
              </w:rPr>
              <w:t>+0.04</w:t>
            </w:r>
          </w:p>
        </w:tc>
      </w:tr>
    </w:tbl>
    <w:p w14:paraId="253D36EB">
      <w:pPr>
        <w:pStyle w:val="51"/>
        <w:spacing w:before="192" w:beforeLines="80" w:after="24"/>
        <w:jc w:val="left"/>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snapToGrid w:val="0"/>
          <w:color w:val="000000"/>
          <w:kern w:val="21"/>
          <w:szCs w:val="21"/>
          <w:highlight w:val="none"/>
        </w:rPr>
        <w:t>注：</w:t>
      </w:r>
      <w:r>
        <w:rPr>
          <w:rFonts w:hint="default" w:ascii="Times New Roman" w:hAnsi="Times New Roman" w:eastAsia="宋体" w:cs="Times New Roman"/>
          <w:snapToGrid w:val="0"/>
          <w:color w:val="000000"/>
          <w:spacing w:val="-16"/>
          <w:kern w:val="21"/>
          <w:szCs w:val="21"/>
          <w:highlight w:val="none"/>
        </w:rPr>
        <w:fldChar w:fldCharType="begin"/>
      </w:r>
      <w:r>
        <w:rPr>
          <w:rFonts w:hint="default" w:ascii="Times New Roman" w:hAnsi="Times New Roman" w:eastAsia="宋体" w:cs="Times New Roman"/>
          <w:snapToGrid w:val="0"/>
          <w:color w:val="000000"/>
          <w:spacing w:val="-16"/>
          <w:kern w:val="21"/>
          <w:szCs w:val="21"/>
          <w:highlight w:val="none"/>
        </w:rPr>
        <w:instrText xml:space="preserve"> = 6 \* GB3 \* MERGEFORMAT </w:instrText>
      </w:r>
      <w:r>
        <w:rPr>
          <w:rFonts w:hint="default" w:ascii="Times New Roman" w:hAnsi="Times New Roman" w:eastAsia="宋体" w:cs="Times New Roman"/>
          <w:snapToGrid w:val="0"/>
          <w:color w:val="000000"/>
          <w:spacing w:val="-16"/>
          <w:kern w:val="21"/>
          <w:szCs w:val="21"/>
          <w:highlight w:val="none"/>
        </w:rPr>
        <w:fldChar w:fldCharType="separate"/>
      </w:r>
      <w:r>
        <w:rPr>
          <w:rFonts w:hint="default" w:ascii="Times New Roman" w:hAnsi="Times New Roman" w:eastAsia="宋体" w:cs="Times New Roman"/>
          <w:szCs w:val="21"/>
          <w:highlight w:val="none"/>
        </w:rPr>
        <w:t>⑥</w:t>
      </w:r>
      <w:r>
        <w:rPr>
          <w:rFonts w:hint="default" w:ascii="Times New Roman" w:hAnsi="Times New Roman" w:eastAsia="宋体" w:cs="Times New Roman"/>
          <w:snapToGrid w:val="0"/>
          <w:color w:val="000000"/>
          <w:spacing w:val="-16"/>
          <w:kern w:val="21"/>
          <w:szCs w:val="21"/>
          <w:highlight w:val="none"/>
        </w:rPr>
        <w:fldChar w:fldCharType="end"/>
      </w:r>
      <w:r>
        <w:rPr>
          <w:rFonts w:hint="default" w:ascii="Times New Roman" w:hAnsi="Times New Roman" w:eastAsia="宋体" w:cs="Times New Roman"/>
          <w:snapToGrid w:val="0"/>
          <w:color w:val="000000"/>
          <w:spacing w:val="-16"/>
          <w:kern w:val="21"/>
          <w:szCs w:val="21"/>
          <w:highlight w:val="none"/>
        </w:rPr>
        <w:t>=</w:t>
      </w:r>
      <w:r>
        <w:rPr>
          <w:rFonts w:hint="default" w:ascii="Times New Roman" w:hAnsi="Times New Roman" w:eastAsia="宋体" w:cs="Times New Roman"/>
          <w:snapToGrid w:val="0"/>
          <w:color w:val="000000"/>
          <w:spacing w:val="-6"/>
          <w:kern w:val="21"/>
          <w:szCs w:val="21"/>
          <w:highlight w:val="none"/>
        </w:rPr>
        <w:fldChar w:fldCharType="begin"/>
      </w:r>
      <w:r>
        <w:rPr>
          <w:rFonts w:hint="default" w:ascii="Times New Roman" w:hAnsi="Times New Roman" w:eastAsia="宋体" w:cs="Times New Roman"/>
          <w:snapToGrid w:val="0"/>
          <w:color w:val="000000"/>
          <w:spacing w:val="-6"/>
          <w:kern w:val="21"/>
          <w:szCs w:val="21"/>
          <w:highlight w:val="none"/>
        </w:rPr>
        <w:instrText xml:space="preserve"> = 1 \* GB3 \* MERGEFORMAT </w:instrText>
      </w:r>
      <w:r>
        <w:rPr>
          <w:rFonts w:hint="default" w:ascii="Times New Roman" w:hAnsi="Times New Roman" w:eastAsia="宋体" w:cs="Times New Roman"/>
          <w:snapToGrid w:val="0"/>
          <w:color w:val="000000"/>
          <w:spacing w:val="-6"/>
          <w:kern w:val="21"/>
          <w:szCs w:val="21"/>
          <w:highlight w:val="none"/>
        </w:rPr>
        <w:fldChar w:fldCharType="separate"/>
      </w:r>
      <w:r>
        <w:rPr>
          <w:rFonts w:hint="default" w:ascii="Times New Roman" w:hAnsi="Times New Roman" w:eastAsia="宋体" w:cs="Times New Roman"/>
          <w:szCs w:val="21"/>
          <w:highlight w:val="none"/>
        </w:rPr>
        <w:t>①</w:t>
      </w:r>
      <w:r>
        <w:rPr>
          <w:rFonts w:hint="default" w:ascii="Times New Roman" w:hAnsi="Times New Roman" w:eastAsia="宋体" w:cs="Times New Roman"/>
          <w:snapToGrid w:val="0"/>
          <w:color w:val="000000"/>
          <w:spacing w:val="-6"/>
          <w:kern w:val="21"/>
          <w:szCs w:val="21"/>
          <w:highlight w:val="none"/>
        </w:rPr>
        <w:fldChar w:fldCharType="end"/>
      </w:r>
      <w:r>
        <w:rPr>
          <w:rFonts w:hint="default" w:ascii="Times New Roman" w:hAnsi="Times New Roman" w:eastAsia="宋体" w:cs="Times New Roman"/>
          <w:snapToGrid w:val="0"/>
          <w:color w:val="000000"/>
          <w:spacing w:val="-6"/>
          <w:kern w:val="21"/>
          <w:szCs w:val="21"/>
          <w:highlight w:val="none"/>
        </w:rPr>
        <w:t>+</w:t>
      </w:r>
      <w:r>
        <w:rPr>
          <w:rFonts w:hint="default" w:ascii="Times New Roman" w:hAnsi="Times New Roman" w:eastAsia="宋体" w:cs="Times New Roman"/>
          <w:snapToGrid w:val="0"/>
          <w:color w:val="000000"/>
          <w:spacing w:val="-6"/>
          <w:kern w:val="21"/>
          <w:szCs w:val="21"/>
          <w:highlight w:val="none"/>
        </w:rPr>
        <w:fldChar w:fldCharType="begin"/>
      </w:r>
      <w:r>
        <w:rPr>
          <w:rFonts w:hint="default" w:ascii="Times New Roman" w:hAnsi="Times New Roman" w:eastAsia="宋体" w:cs="Times New Roman"/>
          <w:snapToGrid w:val="0"/>
          <w:color w:val="000000"/>
          <w:spacing w:val="-6"/>
          <w:kern w:val="21"/>
          <w:szCs w:val="21"/>
          <w:highlight w:val="none"/>
        </w:rPr>
        <w:instrText xml:space="preserve"> = 3 \* GB3 \* MERGEFORMAT </w:instrText>
      </w:r>
      <w:r>
        <w:rPr>
          <w:rFonts w:hint="default" w:ascii="Times New Roman" w:hAnsi="Times New Roman" w:eastAsia="宋体" w:cs="Times New Roman"/>
          <w:snapToGrid w:val="0"/>
          <w:color w:val="000000"/>
          <w:spacing w:val="-6"/>
          <w:kern w:val="21"/>
          <w:szCs w:val="21"/>
          <w:highlight w:val="none"/>
        </w:rPr>
        <w:fldChar w:fldCharType="separate"/>
      </w:r>
      <w:r>
        <w:rPr>
          <w:rFonts w:hint="default" w:ascii="Times New Roman" w:hAnsi="Times New Roman" w:eastAsia="宋体" w:cs="Times New Roman"/>
          <w:szCs w:val="21"/>
          <w:highlight w:val="none"/>
        </w:rPr>
        <w:t>③</w:t>
      </w:r>
      <w:r>
        <w:rPr>
          <w:rFonts w:hint="default" w:ascii="Times New Roman" w:hAnsi="Times New Roman" w:eastAsia="宋体" w:cs="Times New Roman"/>
          <w:snapToGrid w:val="0"/>
          <w:color w:val="000000"/>
          <w:spacing w:val="-6"/>
          <w:kern w:val="21"/>
          <w:szCs w:val="21"/>
          <w:highlight w:val="none"/>
        </w:rPr>
        <w:fldChar w:fldCharType="end"/>
      </w:r>
      <w:r>
        <w:rPr>
          <w:rFonts w:hint="default" w:ascii="Times New Roman" w:hAnsi="Times New Roman" w:eastAsia="宋体" w:cs="Times New Roman"/>
          <w:snapToGrid w:val="0"/>
          <w:color w:val="000000"/>
          <w:spacing w:val="-6"/>
          <w:kern w:val="21"/>
          <w:szCs w:val="21"/>
          <w:highlight w:val="none"/>
        </w:rPr>
        <w:t>+</w:t>
      </w:r>
      <w:r>
        <w:rPr>
          <w:rFonts w:hint="default" w:ascii="Times New Roman" w:hAnsi="Times New Roman" w:eastAsia="宋体" w:cs="Times New Roman"/>
          <w:snapToGrid w:val="0"/>
          <w:color w:val="000000"/>
          <w:spacing w:val="-6"/>
          <w:kern w:val="21"/>
          <w:szCs w:val="21"/>
          <w:highlight w:val="none"/>
        </w:rPr>
        <w:fldChar w:fldCharType="begin"/>
      </w:r>
      <w:r>
        <w:rPr>
          <w:rFonts w:hint="default" w:ascii="Times New Roman" w:hAnsi="Times New Roman" w:eastAsia="宋体" w:cs="Times New Roman"/>
          <w:snapToGrid w:val="0"/>
          <w:color w:val="000000"/>
          <w:spacing w:val="-6"/>
          <w:kern w:val="21"/>
          <w:szCs w:val="21"/>
          <w:highlight w:val="none"/>
        </w:rPr>
        <w:instrText xml:space="preserve"> = 4 \* GB3 \* MERGEFORMAT </w:instrText>
      </w:r>
      <w:r>
        <w:rPr>
          <w:rFonts w:hint="default" w:ascii="Times New Roman" w:hAnsi="Times New Roman" w:eastAsia="宋体" w:cs="Times New Roman"/>
          <w:snapToGrid w:val="0"/>
          <w:color w:val="000000"/>
          <w:spacing w:val="-6"/>
          <w:kern w:val="21"/>
          <w:szCs w:val="21"/>
          <w:highlight w:val="none"/>
        </w:rPr>
        <w:fldChar w:fldCharType="separate"/>
      </w:r>
      <w:r>
        <w:rPr>
          <w:rFonts w:hint="default" w:ascii="Times New Roman" w:hAnsi="Times New Roman" w:eastAsia="宋体" w:cs="Times New Roman"/>
          <w:szCs w:val="21"/>
          <w:highlight w:val="none"/>
        </w:rPr>
        <w:t>④</w:t>
      </w:r>
      <w:r>
        <w:rPr>
          <w:rFonts w:hint="default" w:ascii="Times New Roman" w:hAnsi="Times New Roman" w:eastAsia="宋体" w:cs="Times New Roman"/>
          <w:snapToGrid w:val="0"/>
          <w:color w:val="000000"/>
          <w:spacing w:val="-6"/>
          <w:kern w:val="21"/>
          <w:szCs w:val="21"/>
          <w:highlight w:val="none"/>
        </w:rPr>
        <w:fldChar w:fldCharType="end"/>
      </w:r>
      <w:r>
        <w:rPr>
          <w:rFonts w:hint="default" w:ascii="Times New Roman" w:hAnsi="Times New Roman" w:eastAsia="宋体" w:cs="Times New Roman"/>
          <w:snapToGrid w:val="0"/>
          <w:color w:val="000000"/>
          <w:spacing w:val="-6"/>
          <w:kern w:val="21"/>
          <w:szCs w:val="21"/>
          <w:highlight w:val="none"/>
        </w:rPr>
        <w:t>-</w:t>
      </w:r>
      <w:r>
        <w:rPr>
          <w:rFonts w:hint="default" w:ascii="Times New Roman" w:hAnsi="Times New Roman" w:eastAsia="宋体" w:cs="Times New Roman"/>
          <w:snapToGrid w:val="0"/>
          <w:color w:val="000000"/>
          <w:spacing w:val="-16"/>
          <w:kern w:val="21"/>
          <w:szCs w:val="21"/>
          <w:highlight w:val="none"/>
        </w:rPr>
        <w:fldChar w:fldCharType="begin"/>
      </w:r>
      <w:r>
        <w:rPr>
          <w:rFonts w:hint="default" w:ascii="Times New Roman" w:hAnsi="Times New Roman" w:eastAsia="宋体" w:cs="Times New Roman"/>
          <w:snapToGrid w:val="0"/>
          <w:color w:val="000000"/>
          <w:spacing w:val="-16"/>
          <w:kern w:val="21"/>
          <w:szCs w:val="21"/>
          <w:highlight w:val="none"/>
        </w:rPr>
        <w:instrText xml:space="preserve"> = 5 \* GB3 \* MERGEFORMAT </w:instrText>
      </w:r>
      <w:r>
        <w:rPr>
          <w:rFonts w:hint="default" w:ascii="Times New Roman" w:hAnsi="Times New Roman" w:eastAsia="宋体" w:cs="Times New Roman"/>
          <w:snapToGrid w:val="0"/>
          <w:color w:val="000000"/>
          <w:spacing w:val="-16"/>
          <w:kern w:val="21"/>
          <w:szCs w:val="21"/>
          <w:highlight w:val="none"/>
        </w:rPr>
        <w:fldChar w:fldCharType="separate"/>
      </w:r>
      <w:r>
        <w:rPr>
          <w:rFonts w:hint="default" w:ascii="Times New Roman" w:hAnsi="Times New Roman" w:eastAsia="宋体" w:cs="Times New Roman"/>
          <w:szCs w:val="21"/>
          <w:highlight w:val="none"/>
        </w:rPr>
        <w:t>⑤</w:t>
      </w:r>
      <w:r>
        <w:rPr>
          <w:rFonts w:hint="default" w:ascii="Times New Roman" w:hAnsi="Times New Roman" w:eastAsia="宋体" w:cs="Times New Roman"/>
          <w:snapToGrid w:val="0"/>
          <w:color w:val="000000"/>
          <w:spacing w:val="-16"/>
          <w:kern w:val="21"/>
          <w:szCs w:val="21"/>
          <w:highlight w:val="none"/>
        </w:rPr>
        <w:fldChar w:fldCharType="end"/>
      </w:r>
      <w:r>
        <w:rPr>
          <w:rFonts w:hint="default" w:ascii="Times New Roman" w:hAnsi="Times New Roman" w:eastAsia="宋体" w:cs="Times New Roman"/>
          <w:snapToGrid w:val="0"/>
          <w:color w:val="000000"/>
          <w:spacing w:val="-16"/>
          <w:kern w:val="21"/>
          <w:szCs w:val="21"/>
          <w:highlight w:val="none"/>
        </w:rPr>
        <w:t>；</w:t>
      </w:r>
      <w:r>
        <w:rPr>
          <w:rFonts w:hint="default" w:ascii="Times New Roman" w:hAnsi="Times New Roman" w:eastAsia="宋体" w:cs="Times New Roman"/>
          <w:snapToGrid w:val="0"/>
          <w:color w:val="000000"/>
          <w:spacing w:val="-6"/>
          <w:kern w:val="21"/>
          <w:szCs w:val="21"/>
          <w:highlight w:val="none"/>
        </w:rPr>
        <w:fldChar w:fldCharType="begin"/>
      </w:r>
      <w:r>
        <w:rPr>
          <w:rFonts w:hint="default" w:ascii="Times New Roman" w:hAnsi="Times New Roman" w:eastAsia="宋体" w:cs="Times New Roman"/>
          <w:snapToGrid w:val="0"/>
          <w:color w:val="000000"/>
          <w:spacing w:val="-6"/>
          <w:kern w:val="21"/>
          <w:szCs w:val="21"/>
          <w:highlight w:val="none"/>
        </w:rPr>
        <w:instrText xml:space="preserve"> = 7 \* GB3 \* MERGEFORMAT </w:instrText>
      </w:r>
      <w:r>
        <w:rPr>
          <w:rFonts w:hint="default" w:ascii="Times New Roman" w:hAnsi="Times New Roman" w:eastAsia="宋体" w:cs="Times New Roman"/>
          <w:snapToGrid w:val="0"/>
          <w:color w:val="000000"/>
          <w:spacing w:val="-6"/>
          <w:kern w:val="21"/>
          <w:szCs w:val="21"/>
          <w:highlight w:val="none"/>
        </w:rPr>
        <w:fldChar w:fldCharType="separate"/>
      </w:r>
      <w:r>
        <w:rPr>
          <w:rFonts w:hint="default" w:ascii="Times New Roman" w:hAnsi="Times New Roman" w:eastAsia="宋体" w:cs="Times New Roman"/>
          <w:szCs w:val="21"/>
          <w:highlight w:val="none"/>
        </w:rPr>
        <w:t>⑦</w:t>
      </w:r>
      <w:r>
        <w:rPr>
          <w:rFonts w:hint="default" w:ascii="Times New Roman" w:hAnsi="Times New Roman" w:eastAsia="宋体" w:cs="Times New Roman"/>
          <w:snapToGrid w:val="0"/>
          <w:color w:val="000000"/>
          <w:spacing w:val="-6"/>
          <w:kern w:val="21"/>
          <w:szCs w:val="21"/>
          <w:highlight w:val="none"/>
        </w:rPr>
        <w:fldChar w:fldCharType="end"/>
      </w:r>
      <w:r>
        <w:rPr>
          <w:rFonts w:hint="default" w:ascii="Times New Roman" w:hAnsi="Times New Roman" w:eastAsia="宋体" w:cs="Times New Roman"/>
          <w:snapToGrid w:val="0"/>
          <w:color w:val="000000"/>
          <w:spacing w:val="-6"/>
          <w:kern w:val="21"/>
          <w:szCs w:val="21"/>
          <w:highlight w:val="none"/>
        </w:rPr>
        <w:t>=</w:t>
      </w:r>
      <w:r>
        <w:rPr>
          <w:rFonts w:hint="default" w:ascii="Times New Roman" w:hAnsi="Times New Roman" w:eastAsia="宋体" w:cs="Times New Roman"/>
          <w:snapToGrid w:val="0"/>
          <w:color w:val="000000"/>
          <w:spacing w:val="-16"/>
          <w:kern w:val="21"/>
          <w:szCs w:val="21"/>
          <w:highlight w:val="none"/>
        </w:rPr>
        <w:fldChar w:fldCharType="begin"/>
      </w:r>
      <w:r>
        <w:rPr>
          <w:rFonts w:hint="default" w:ascii="Times New Roman" w:hAnsi="Times New Roman" w:eastAsia="宋体" w:cs="Times New Roman"/>
          <w:snapToGrid w:val="0"/>
          <w:color w:val="000000"/>
          <w:spacing w:val="-16"/>
          <w:kern w:val="21"/>
          <w:szCs w:val="21"/>
          <w:highlight w:val="none"/>
        </w:rPr>
        <w:instrText xml:space="preserve"> = 6 \* GB3 \* MERGEFORMAT </w:instrText>
      </w:r>
      <w:r>
        <w:rPr>
          <w:rFonts w:hint="default" w:ascii="Times New Roman" w:hAnsi="Times New Roman" w:eastAsia="宋体" w:cs="Times New Roman"/>
          <w:snapToGrid w:val="0"/>
          <w:color w:val="000000"/>
          <w:spacing w:val="-16"/>
          <w:kern w:val="21"/>
          <w:szCs w:val="21"/>
          <w:highlight w:val="none"/>
        </w:rPr>
        <w:fldChar w:fldCharType="separate"/>
      </w:r>
      <w:r>
        <w:rPr>
          <w:rFonts w:hint="default" w:ascii="Times New Roman" w:hAnsi="Times New Roman" w:eastAsia="宋体" w:cs="Times New Roman"/>
          <w:szCs w:val="21"/>
          <w:highlight w:val="none"/>
        </w:rPr>
        <w:t>⑥</w:t>
      </w:r>
      <w:r>
        <w:rPr>
          <w:rFonts w:hint="default" w:ascii="Times New Roman" w:hAnsi="Times New Roman" w:eastAsia="宋体" w:cs="Times New Roman"/>
          <w:snapToGrid w:val="0"/>
          <w:color w:val="000000"/>
          <w:spacing w:val="-16"/>
          <w:kern w:val="21"/>
          <w:szCs w:val="21"/>
          <w:highlight w:val="none"/>
        </w:rPr>
        <w:fldChar w:fldCharType="end"/>
      </w:r>
      <w:r>
        <w:rPr>
          <w:rFonts w:hint="default" w:ascii="Times New Roman" w:hAnsi="Times New Roman" w:eastAsia="宋体" w:cs="Times New Roman"/>
          <w:snapToGrid w:val="0"/>
          <w:color w:val="000000"/>
          <w:spacing w:val="-16"/>
          <w:kern w:val="21"/>
          <w:szCs w:val="21"/>
          <w:highlight w:val="none"/>
        </w:rPr>
        <w:t>-</w:t>
      </w:r>
      <w:r>
        <w:rPr>
          <w:rFonts w:hint="default" w:ascii="Times New Roman" w:hAnsi="Times New Roman" w:eastAsia="宋体" w:cs="Times New Roman"/>
          <w:snapToGrid w:val="0"/>
          <w:color w:val="000000"/>
          <w:spacing w:val="-6"/>
          <w:kern w:val="21"/>
          <w:szCs w:val="21"/>
          <w:highlight w:val="none"/>
        </w:rPr>
        <w:fldChar w:fldCharType="begin"/>
      </w:r>
      <w:r>
        <w:rPr>
          <w:rFonts w:hint="default" w:ascii="Times New Roman" w:hAnsi="Times New Roman" w:eastAsia="宋体" w:cs="Times New Roman"/>
          <w:snapToGrid w:val="0"/>
          <w:color w:val="000000"/>
          <w:spacing w:val="-6"/>
          <w:kern w:val="21"/>
          <w:szCs w:val="21"/>
          <w:highlight w:val="none"/>
        </w:rPr>
        <w:instrText xml:space="preserve"> = 1 \* GB3 \* MERGEFORMAT </w:instrText>
      </w:r>
      <w:r>
        <w:rPr>
          <w:rFonts w:hint="default" w:ascii="Times New Roman" w:hAnsi="Times New Roman" w:eastAsia="宋体" w:cs="Times New Roman"/>
          <w:snapToGrid w:val="0"/>
          <w:color w:val="000000"/>
          <w:spacing w:val="-6"/>
          <w:kern w:val="21"/>
          <w:szCs w:val="21"/>
          <w:highlight w:val="none"/>
        </w:rPr>
        <w:fldChar w:fldCharType="separate"/>
      </w:r>
      <w:r>
        <w:rPr>
          <w:rFonts w:hint="default" w:ascii="Times New Roman" w:hAnsi="Times New Roman" w:eastAsia="宋体" w:cs="Times New Roman"/>
          <w:szCs w:val="21"/>
          <w:highlight w:val="none"/>
        </w:rPr>
        <w:t>①</w:t>
      </w:r>
      <w:r>
        <w:rPr>
          <w:rFonts w:hint="default" w:ascii="Times New Roman" w:hAnsi="Times New Roman" w:eastAsia="宋体" w:cs="Times New Roman"/>
          <w:snapToGrid w:val="0"/>
          <w:color w:val="000000"/>
          <w:spacing w:val="-6"/>
          <w:kern w:val="21"/>
          <w:szCs w:val="21"/>
          <w:highlight w:val="none"/>
        </w:rPr>
        <w:fldChar w:fldCharType="end"/>
      </w:r>
    </w:p>
    <w:p w14:paraId="4BB73D70">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000000"/>
          <w:sz w:val="24"/>
          <w:szCs w:val="24"/>
          <w:highlight w:val="none"/>
        </w:rPr>
        <w:sectPr>
          <w:footerReference r:id="rId5" w:type="default"/>
          <w:pgSz w:w="16838" w:h="11911" w:orient="landscape"/>
          <w:pgMar w:top="1361" w:right="1440" w:bottom="1361" w:left="1440" w:header="0" w:footer="1202" w:gutter="0"/>
          <w:pgBorders>
            <w:top w:val="none" w:sz="0" w:space="0"/>
            <w:left w:val="none" w:sz="0" w:space="0"/>
            <w:bottom w:val="none" w:sz="0" w:space="0"/>
            <w:right w:val="none" w:sz="0" w:space="0"/>
          </w:pgBorders>
          <w:pgNumType w:fmt="decimal"/>
          <w:cols w:space="720" w:num="1"/>
          <w:rtlGutter w:val="0"/>
          <w:docGrid w:linePitch="494" w:charSpace="0"/>
        </w:sectPr>
      </w:pPr>
    </w:p>
    <w:p w14:paraId="170C95ED">
      <w:pPr>
        <w:bidi w:val="0"/>
        <w:jc w:val="center"/>
        <w:rPr>
          <w:rFonts w:hint="eastAsia"/>
          <w:sz w:val="24"/>
          <w:szCs w:val="24"/>
          <w:highlight w:val="none"/>
          <w:lang w:val="en-US" w:eastAsia="zh-CN"/>
        </w:rPr>
      </w:pPr>
    </w:p>
    <w:sectPr>
      <w:footerReference r:id="rId6" w:type="default"/>
      <w:pgSz w:w="11911" w:h="16838"/>
      <w:pgMar w:top="1440" w:right="1803" w:bottom="1440" w:left="1803" w:header="0" w:footer="1202"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方正小标宋_GBK">
    <w:altName w:val="宋体"/>
    <w:panose1 w:val="00000000000000000000"/>
    <w:charset w:val="86"/>
    <w:family w:val="script"/>
    <w:pitch w:val="default"/>
    <w:sig w:usb0="00000000" w:usb1="00000000" w:usb2="00000010" w:usb3="00000000" w:csb0="00040000" w:csb1="00000000"/>
  </w:font>
  <w:font w:name="@華康粗黑體">
    <w:altName w:val="黑体"/>
    <w:panose1 w:val="00000000000000000000"/>
    <w:charset w:val="88"/>
    <w:family w:val="modern"/>
    <w:pitch w:val="default"/>
    <w:sig w:usb0="00000000" w:usb1="00000000" w:usb2="00000016" w:usb3="00000000" w:csb0="00100000" w:csb1="00000000"/>
  </w:font>
  <w:font w:name="Wingdings 2">
    <w:altName w:val="Wingdings"/>
    <w:panose1 w:val="05020102010507070707"/>
    <w:charset w:val="02"/>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B58A3">
    <w:pPr>
      <w:pStyle w:val="18"/>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53E7C">
                          <w:pPr>
                            <w:pStyle w:val="18"/>
                            <w:rPr>
                              <w:rFonts w:hint="default" w:ascii="Times New Roman" w:hAnsi="Times New Roman" w:eastAsia="宋体" w:cs="Times New Roman"/>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3</w:t>
                          </w:r>
                          <w:r>
                            <w:rPr>
                              <w:rFonts w:hint="default" w:ascii="Times New Roman" w:hAnsi="Times New Roman" w:eastAsia="宋体" w:cs="Times New Roman"/>
                              <w:lang w:eastAsia="zh-CN"/>
                            </w:rPr>
                            <w:fldChar w:fldCharType="end"/>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x4naV4QEAAMIDAAAOAAAA&#10;AAAAAAEAIAAAAB4BAABkcnMvZTJvRG9jLnhtbFBLBQYAAAAABgAGAFkBAABxBQAAAAA=&#10;">
              <v:fill on="f" focussize="0,0"/>
              <v:stroke on="f"/>
              <v:imagedata o:title=""/>
              <o:lock v:ext="edit" aspectratio="f"/>
              <v:textbox inset="0mm,0mm,0mm,0mm" style="mso-fit-shape-to-text:t;">
                <w:txbxContent>
                  <w:p w14:paraId="06853E7C">
                    <w:pPr>
                      <w:pStyle w:val="18"/>
                      <w:rPr>
                        <w:rFonts w:hint="default" w:ascii="Times New Roman" w:hAnsi="Times New Roman" w:eastAsia="宋体" w:cs="Times New Roman"/>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3</w:t>
                    </w:r>
                    <w:r>
                      <w:rPr>
                        <w:rFonts w:hint="default" w:ascii="Times New Roman" w:hAnsi="Times New Roman" w:eastAsia="宋体" w:cs="Times New Roman"/>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07E5B">
    <w:pPr>
      <w:pStyle w:val="1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5DA97">
    <w:pPr>
      <w:pStyle w:val="1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6FB8F">
    <w:pPr>
      <w:pStyle w:val="1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7E2352"/>
    <w:multiLevelType w:val="singleLevel"/>
    <w:tmpl w:val="CE7E2352"/>
    <w:lvl w:ilvl="0" w:tentative="0">
      <w:start w:val="2"/>
      <w:numFmt w:val="chineseCounting"/>
      <w:suff w:val="nothing"/>
      <w:lvlText w:val="%1、"/>
      <w:lvlJc w:val="left"/>
      <w:rPr>
        <w:rFonts w:hint="eastAsia"/>
      </w:rPr>
    </w:lvl>
  </w:abstractNum>
  <w:abstractNum w:abstractNumId="1">
    <w:nsid w:val="1A6A187E"/>
    <w:multiLevelType w:val="multilevel"/>
    <w:tmpl w:val="1A6A187E"/>
    <w:lvl w:ilvl="0" w:tentative="0">
      <w:start w:val="1"/>
      <w:numFmt w:val="chineseCountingThousand"/>
      <w:pStyle w:val="82"/>
      <w:lvlText w:val="%1"/>
      <w:lvlJc w:val="left"/>
      <w:pPr>
        <w:tabs>
          <w:tab w:val="left" w:pos="492"/>
        </w:tabs>
        <w:ind w:left="492" w:hanging="432"/>
      </w:pPr>
      <w:rPr>
        <w:rFonts w:hint="eastAsia"/>
      </w:rPr>
    </w:lvl>
    <w:lvl w:ilvl="1" w:tentative="0">
      <w:start w:val="1"/>
      <w:numFmt w:val="decimal"/>
      <w:lvlText w:val="%1.%2"/>
      <w:lvlJc w:val="left"/>
      <w:pPr>
        <w:tabs>
          <w:tab w:val="left" w:pos="636"/>
        </w:tabs>
        <w:ind w:left="636" w:hanging="576"/>
      </w:pPr>
      <w:rPr>
        <w:rFonts w:hint="eastAsia"/>
      </w:rPr>
    </w:lvl>
    <w:lvl w:ilvl="2" w:tentative="0">
      <w:start w:val="1"/>
      <w:numFmt w:val="decimal"/>
      <w:lvlText w:val="%1.%2.%3"/>
      <w:lvlJc w:val="left"/>
      <w:pPr>
        <w:tabs>
          <w:tab w:val="left" w:pos="-120"/>
        </w:tabs>
        <w:ind w:left="-120"/>
      </w:pPr>
      <w:rPr>
        <w:rFonts w:hint="eastAsia"/>
      </w:rPr>
    </w:lvl>
    <w:lvl w:ilvl="3" w:tentative="0">
      <w:start w:val="1"/>
      <w:numFmt w:val="decimal"/>
      <w:lvlText w:val="%1.%2.%3.%4"/>
      <w:lvlJc w:val="left"/>
      <w:pPr>
        <w:tabs>
          <w:tab w:val="left" w:pos="924"/>
        </w:tabs>
        <w:ind w:left="924" w:hanging="864"/>
      </w:pPr>
      <w:rPr>
        <w:rFonts w:hint="eastAsia"/>
      </w:rPr>
    </w:lvl>
    <w:lvl w:ilvl="4" w:tentative="0">
      <w:start w:val="1"/>
      <w:numFmt w:val="decimal"/>
      <w:lvlText w:val="%1.%2.%3.%4.%5"/>
      <w:lvlJc w:val="left"/>
      <w:pPr>
        <w:tabs>
          <w:tab w:val="left" w:pos="1068"/>
        </w:tabs>
        <w:ind w:left="1068" w:hanging="1008"/>
      </w:pPr>
      <w:rPr>
        <w:rFonts w:hint="eastAsia"/>
      </w:rPr>
    </w:lvl>
    <w:lvl w:ilvl="5" w:tentative="0">
      <w:start w:val="1"/>
      <w:numFmt w:val="decimal"/>
      <w:lvlText w:val="%1.%2.%3.%4.%5.%6"/>
      <w:lvlJc w:val="left"/>
      <w:pPr>
        <w:tabs>
          <w:tab w:val="left" w:pos="1212"/>
        </w:tabs>
        <w:ind w:left="1212" w:hanging="1152"/>
      </w:pPr>
      <w:rPr>
        <w:rFonts w:hint="eastAsia"/>
      </w:rPr>
    </w:lvl>
    <w:lvl w:ilvl="6" w:tentative="0">
      <w:start w:val="1"/>
      <w:numFmt w:val="decimal"/>
      <w:lvlText w:val="%1.%2.%3.%4.%5.%6.%7"/>
      <w:lvlJc w:val="left"/>
      <w:pPr>
        <w:tabs>
          <w:tab w:val="left" w:pos="1356"/>
        </w:tabs>
        <w:ind w:left="1356" w:hanging="1296"/>
      </w:pPr>
      <w:rPr>
        <w:rFonts w:hint="eastAsia"/>
      </w:rPr>
    </w:lvl>
    <w:lvl w:ilvl="7" w:tentative="0">
      <w:start w:val="1"/>
      <w:numFmt w:val="decimal"/>
      <w:lvlText w:val="%1.%2.%3.%4.%5.%6.%7.%8"/>
      <w:lvlJc w:val="left"/>
      <w:pPr>
        <w:tabs>
          <w:tab w:val="left" w:pos="1500"/>
        </w:tabs>
        <w:ind w:left="1500" w:hanging="1440"/>
      </w:pPr>
      <w:rPr>
        <w:rFonts w:hint="eastAsia"/>
      </w:rPr>
    </w:lvl>
    <w:lvl w:ilvl="8" w:tentative="0">
      <w:start w:val="1"/>
      <w:numFmt w:val="decimal"/>
      <w:lvlText w:val="%1.%2.%3.%4.%5.%6.%7.%8.%9"/>
      <w:lvlJc w:val="left"/>
      <w:pPr>
        <w:tabs>
          <w:tab w:val="left" w:pos="1644"/>
        </w:tabs>
        <w:ind w:left="1644" w:hanging="1584"/>
      </w:pPr>
      <w:rPr>
        <w:rFonts w:hint="eastAsia"/>
      </w:rPr>
    </w:lvl>
  </w:abstractNum>
  <w:abstractNum w:abstractNumId="2">
    <w:nsid w:val="67BDAD8B"/>
    <w:multiLevelType w:val="singleLevel"/>
    <w:tmpl w:val="67BDAD8B"/>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mNmQwMGNjMzQ5MzBkODYwMWI1OTBkNjExMTRlMTUifQ=="/>
    <w:docVar w:name="KSO_WPS_MARK_KEY" w:val="b421f15b-607e-4768-83c6-0e59c00543bb"/>
  </w:docVars>
  <w:rsids>
    <w:rsidRoot w:val="00A14947"/>
    <w:rsid w:val="000060B3"/>
    <w:rsid w:val="000112ED"/>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55D64"/>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3F0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1DAD"/>
    <w:rsid w:val="00484B9B"/>
    <w:rsid w:val="004855F6"/>
    <w:rsid w:val="0048661E"/>
    <w:rsid w:val="00494670"/>
    <w:rsid w:val="004A3823"/>
    <w:rsid w:val="004D140B"/>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42C3"/>
    <w:rsid w:val="00545424"/>
    <w:rsid w:val="00554A7B"/>
    <w:rsid w:val="0055572C"/>
    <w:rsid w:val="0056106A"/>
    <w:rsid w:val="005720AE"/>
    <w:rsid w:val="00594D77"/>
    <w:rsid w:val="005969E4"/>
    <w:rsid w:val="005A06B7"/>
    <w:rsid w:val="005A1759"/>
    <w:rsid w:val="005A68A7"/>
    <w:rsid w:val="005B3EAE"/>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1A8A"/>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4545A"/>
    <w:rsid w:val="00A53EC6"/>
    <w:rsid w:val="00A55C0F"/>
    <w:rsid w:val="00A6126C"/>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53D6A"/>
    <w:rsid w:val="00C61E4B"/>
    <w:rsid w:val="00C64BFF"/>
    <w:rsid w:val="00C704E9"/>
    <w:rsid w:val="00C763C9"/>
    <w:rsid w:val="00C80057"/>
    <w:rsid w:val="00C82232"/>
    <w:rsid w:val="00C82913"/>
    <w:rsid w:val="00C972B1"/>
    <w:rsid w:val="00CA2CCE"/>
    <w:rsid w:val="00CA43FD"/>
    <w:rsid w:val="00CA613C"/>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D2128"/>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E2535"/>
    <w:rsid w:val="010F1420"/>
    <w:rsid w:val="01162889"/>
    <w:rsid w:val="01236B30"/>
    <w:rsid w:val="01290F7E"/>
    <w:rsid w:val="012D25DE"/>
    <w:rsid w:val="0135352F"/>
    <w:rsid w:val="01361677"/>
    <w:rsid w:val="013C246A"/>
    <w:rsid w:val="013E18C3"/>
    <w:rsid w:val="013F593B"/>
    <w:rsid w:val="0156579A"/>
    <w:rsid w:val="015D1E09"/>
    <w:rsid w:val="0161559E"/>
    <w:rsid w:val="016657DB"/>
    <w:rsid w:val="01963D2C"/>
    <w:rsid w:val="01A77E5C"/>
    <w:rsid w:val="01B00788"/>
    <w:rsid w:val="01BC26B3"/>
    <w:rsid w:val="01D37BC5"/>
    <w:rsid w:val="01E34744"/>
    <w:rsid w:val="01EB223E"/>
    <w:rsid w:val="020139AA"/>
    <w:rsid w:val="0231155D"/>
    <w:rsid w:val="02697903"/>
    <w:rsid w:val="0278229C"/>
    <w:rsid w:val="02852E09"/>
    <w:rsid w:val="0287576F"/>
    <w:rsid w:val="02B55441"/>
    <w:rsid w:val="02C87483"/>
    <w:rsid w:val="02D212D8"/>
    <w:rsid w:val="02D367C1"/>
    <w:rsid w:val="02DE0249"/>
    <w:rsid w:val="02E2224F"/>
    <w:rsid w:val="02F96569"/>
    <w:rsid w:val="02FB5743"/>
    <w:rsid w:val="03024FD6"/>
    <w:rsid w:val="030D0562"/>
    <w:rsid w:val="031C2553"/>
    <w:rsid w:val="033358C5"/>
    <w:rsid w:val="033D37F5"/>
    <w:rsid w:val="03414847"/>
    <w:rsid w:val="03491139"/>
    <w:rsid w:val="034D30DC"/>
    <w:rsid w:val="03515AA2"/>
    <w:rsid w:val="03851306"/>
    <w:rsid w:val="03952FE8"/>
    <w:rsid w:val="03981BBB"/>
    <w:rsid w:val="03A859BC"/>
    <w:rsid w:val="03BB1D6C"/>
    <w:rsid w:val="03C831E6"/>
    <w:rsid w:val="03DC1690"/>
    <w:rsid w:val="03DF5E60"/>
    <w:rsid w:val="03EA7B21"/>
    <w:rsid w:val="03FD3D29"/>
    <w:rsid w:val="04173F58"/>
    <w:rsid w:val="0422314D"/>
    <w:rsid w:val="04495762"/>
    <w:rsid w:val="04553FAB"/>
    <w:rsid w:val="045D1075"/>
    <w:rsid w:val="04815C0A"/>
    <w:rsid w:val="04892E06"/>
    <w:rsid w:val="04995530"/>
    <w:rsid w:val="04B2681A"/>
    <w:rsid w:val="04B8176A"/>
    <w:rsid w:val="04ED412F"/>
    <w:rsid w:val="051B0AC0"/>
    <w:rsid w:val="05257DE5"/>
    <w:rsid w:val="052D5919"/>
    <w:rsid w:val="0549169D"/>
    <w:rsid w:val="05632809"/>
    <w:rsid w:val="059022CF"/>
    <w:rsid w:val="05927002"/>
    <w:rsid w:val="059A45C0"/>
    <w:rsid w:val="05A72746"/>
    <w:rsid w:val="05AE00BA"/>
    <w:rsid w:val="05BF7530"/>
    <w:rsid w:val="05F83EAE"/>
    <w:rsid w:val="06016A81"/>
    <w:rsid w:val="06086D7C"/>
    <w:rsid w:val="060E1B99"/>
    <w:rsid w:val="061F02DC"/>
    <w:rsid w:val="061F63E6"/>
    <w:rsid w:val="0623356C"/>
    <w:rsid w:val="06237939"/>
    <w:rsid w:val="06347FB4"/>
    <w:rsid w:val="06373593"/>
    <w:rsid w:val="06394F2C"/>
    <w:rsid w:val="063E7D85"/>
    <w:rsid w:val="06634378"/>
    <w:rsid w:val="0666421B"/>
    <w:rsid w:val="066B336D"/>
    <w:rsid w:val="068C6F77"/>
    <w:rsid w:val="069074E0"/>
    <w:rsid w:val="069776AA"/>
    <w:rsid w:val="06985820"/>
    <w:rsid w:val="069E6A90"/>
    <w:rsid w:val="06A6306B"/>
    <w:rsid w:val="06AC058E"/>
    <w:rsid w:val="06AD62B5"/>
    <w:rsid w:val="06BD5DFB"/>
    <w:rsid w:val="06C65A0D"/>
    <w:rsid w:val="06D01B24"/>
    <w:rsid w:val="06DC1E71"/>
    <w:rsid w:val="0707762D"/>
    <w:rsid w:val="07166631"/>
    <w:rsid w:val="071F373A"/>
    <w:rsid w:val="07204F39"/>
    <w:rsid w:val="07293586"/>
    <w:rsid w:val="07295285"/>
    <w:rsid w:val="07636392"/>
    <w:rsid w:val="0765425E"/>
    <w:rsid w:val="07770C56"/>
    <w:rsid w:val="07814CF6"/>
    <w:rsid w:val="07A67F4C"/>
    <w:rsid w:val="07B24AEF"/>
    <w:rsid w:val="07B36203"/>
    <w:rsid w:val="07D834C7"/>
    <w:rsid w:val="07DB5EEF"/>
    <w:rsid w:val="07DC6F5C"/>
    <w:rsid w:val="07F96A7B"/>
    <w:rsid w:val="07FB4E2D"/>
    <w:rsid w:val="081235BD"/>
    <w:rsid w:val="08160830"/>
    <w:rsid w:val="081B3162"/>
    <w:rsid w:val="08433D7B"/>
    <w:rsid w:val="084B5D4D"/>
    <w:rsid w:val="085D6335"/>
    <w:rsid w:val="08BA2FDD"/>
    <w:rsid w:val="08D702C0"/>
    <w:rsid w:val="08F65B4F"/>
    <w:rsid w:val="090F0305"/>
    <w:rsid w:val="092217DD"/>
    <w:rsid w:val="092330B1"/>
    <w:rsid w:val="093A7294"/>
    <w:rsid w:val="098374B4"/>
    <w:rsid w:val="099B5E8A"/>
    <w:rsid w:val="09D77019"/>
    <w:rsid w:val="09E362EA"/>
    <w:rsid w:val="09ED5924"/>
    <w:rsid w:val="0A0955FE"/>
    <w:rsid w:val="0A0F4C7C"/>
    <w:rsid w:val="0A263993"/>
    <w:rsid w:val="0A2D3AC2"/>
    <w:rsid w:val="0A3D3AFE"/>
    <w:rsid w:val="0A3D47C8"/>
    <w:rsid w:val="0A45441D"/>
    <w:rsid w:val="0A456833"/>
    <w:rsid w:val="0A5B36C3"/>
    <w:rsid w:val="0A6232A2"/>
    <w:rsid w:val="0AA755DF"/>
    <w:rsid w:val="0ACE7884"/>
    <w:rsid w:val="0AEA6EDE"/>
    <w:rsid w:val="0AFE601C"/>
    <w:rsid w:val="0B120D44"/>
    <w:rsid w:val="0B1A3636"/>
    <w:rsid w:val="0B3462E8"/>
    <w:rsid w:val="0B554854"/>
    <w:rsid w:val="0B615CB9"/>
    <w:rsid w:val="0B9A77ED"/>
    <w:rsid w:val="0BA53A2D"/>
    <w:rsid w:val="0BB20F09"/>
    <w:rsid w:val="0BBF6171"/>
    <w:rsid w:val="0BD27BF6"/>
    <w:rsid w:val="0BE023D5"/>
    <w:rsid w:val="0BE05930"/>
    <w:rsid w:val="0BE56ECE"/>
    <w:rsid w:val="0C0D5ED5"/>
    <w:rsid w:val="0C3B3C7D"/>
    <w:rsid w:val="0C6D0421"/>
    <w:rsid w:val="0C7A2171"/>
    <w:rsid w:val="0C88376B"/>
    <w:rsid w:val="0C884CFB"/>
    <w:rsid w:val="0CAB2EAE"/>
    <w:rsid w:val="0CD43E9E"/>
    <w:rsid w:val="0CE9724E"/>
    <w:rsid w:val="0CF95343"/>
    <w:rsid w:val="0CFB58BC"/>
    <w:rsid w:val="0D044784"/>
    <w:rsid w:val="0D240982"/>
    <w:rsid w:val="0D2B0B1F"/>
    <w:rsid w:val="0D3A7733"/>
    <w:rsid w:val="0D553383"/>
    <w:rsid w:val="0D621C7D"/>
    <w:rsid w:val="0D64399A"/>
    <w:rsid w:val="0D8E2330"/>
    <w:rsid w:val="0D9041C3"/>
    <w:rsid w:val="0DC56D7D"/>
    <w:rsid w:val="0DDF18A3"/>
    <w:rsid w:val="0DF4008D"/>
    <w:rsid w:val="0E0F65A9"/>
    <w:rsid w:val="0E132622"/>
    <w:rsid w:val="0E1D4D62"/>
    <w:rsid w:val="0E203DE4"/>
    <w:rsid w:val="0E3966AF"/>
    <w:rsid w:val="0E5E2EAA"/>
    <w:rsid w:val="0E73034D"/>
    <w:rsid w:val="0E7B5CA2"/>
    <w:rsid w:val="0E9133C8"/>
    <w:rsid w:val="0EA0070E"/>
    <w:rsid w:val="0EC0280F"/>
    <w:rsid w:val="0EC70E02"/>
    <w:rsid w:val="0EE868F1"/>
    <w:rsid w:val="0F13775A"/>
    <w:rsid w:val="0F2F0019"/>
    <w:rsid w:val="0F424BE8"/>
    <w:rsid w:val="0F4B620E"/>
    <w:rsid w:val="0F4C3B85"/>
    <w:rsid w:val="0F5F45FE"/>
    <w:rsid w:val="0F6C78F5"/>
    <w:rsid w:val="0F765328"/>
    <w:rsid w:val="0F7B1F9E"/>
    <w:rsid w:val="0F9A112B"/>
    <w:rsid w:val="0FC51BEE"/>
    <w:rsid w:val="0FC556F8"/>
    <w:rsid w:val="0FDC61D9"/>
    <w:rsid w:val="0FE30E08"/>
    <w:rsid w:val="0FEC0867"/>
    <w:rsid w:val="10093E5F"/>
    <w:rsid w:val="103034B3"/>
    <w:rsid w:val="10417A9D"/>
    <w:rsid w:val="10430D01"/>
    <w:rsid w:val="104355C3"/>
    <w:rsid w:val="106C121A"/>
    <w:rsid w:val="106D2F64"/>
    <w:rsid w:val="10842A2C"/>
    <w:rsid w:val="10AA7EE1"/>
    <w:rsid w:val="10B63710"/>
    <w:rsid w:val="10B66A3E"/>
    <w:rsid w:val="10BA0D6D"/>
    <w:rsid w:val="10C11596"/>
    <w:rsid w:val="10CF2D4B"/>
    <w:rsid w:val="10D0497D"/>
    <w:rsid w:val="10ED4052"/>
    <w:rsid w:val="10F10820"/>
    <w:rsid w:val="111C2F7A"/>
    <w:rsid w:val="112C1510"/>
    <w:rsid w:val="113C53A4"/>
    <w:rsid w:val="11450E27"/>
    <w:rsid w:val="114F24DA"/>
    <w:rsid w:val="11516121"/>
    <w:rsid w:val="11665CA1"/>
    <w:rsid w:val="11800DF1"/>
    <w:rsid w:val="11891E8F"/>
    <w:rsid w:val="11A262F4"/>
    <w:rsid w:val="11B63F34"/>
    <w:rsid w:val="11B70F44"/>
    <w:rsid w:val="11DD0CE2"/>
    <w:rsid w:val="120C5BF8"/>
    <w:rsid w:val="122B79B0"/>
    <w:rsid w:val="12392558"/>
    <w:rsid w:val="124922ED"/>
    <w:rsid w:val="12560320"/>
    <w:rsid w:val="12631213"/>
    <w:rsid w:val="12795C84"/>
    <w:rsid w:val="12796516"/>
    <w:rsid w:val="12C03BA6"/>
    <w:rsid w:val="12E36811"/>
    <w:rsid w:val="12E50BB3"/>
    <w:rsid w:val="12ED0DC6"/>
    <w:rsid w:val="130A6237"/>
    <w:rsid w:val="13287EAA"/>
    <w:rsid w:val="13370EA0"/>
    <w:rsid w:val="1344017D"/>
    <w:rsid w:val="135D20D3"/>
    <w:rsid w:val="136F6FD2"/>
    <w:rsid w:val="13731D46"/>
    <w:rsid w:val="137761ED"/>
    <w:rsid w:val="13777437"/>
    <w:rsid w:val="13827569"/>
    <w:rsid w:val="138644DE"/>
    <w:rsid w:val="138C723A"/>
    <w:rsid w:val="13951726"/>
    <w:rsid w:val="13C30488"/>
    <w:rsid w:val="13C511EE"/>
    <w:rsid w:val="13E266C4"/>
    <w:rsid w:val="14071E3F"/>
    <w:rsid w:val="14281E18"/>
    <w:rsid w:val="142851FC"/>
    <w:rsid w:val="1435189A"/>
    <w:rsid w:val="1438363C"/>
    <w:rsid w:val="14396509"/>
    <w:rsid w:val="145E572F"/>
    <w:rsid w:val="146579ED"/>
    <w:rsid w:val="146E0211"/>
    <w:rsid w:val="147C6B92"/>
    <w:rsid w:val="14812B5E"/>
    <w:rsid w:val="14950ABA"/>
    <w:rsid w:val="14983A03"/>
    <w:rsid w:val="14A5684C"/>
    <w:rsid w:val="14DC5FE6"/>
    <w:rsid w:val="14DD2C3C"/>
    <w:rsid w:val="14E7511F"/>
    <w:rsid w:val="14E978EA"/>
    <w:rsid w:val="14EC5AA6"/>
    <w:rsid w:val="150A66AF"/>
    <w:rsid w:val="152359C3"/>
    <w:rsid w:val="15287644"/>
    <w:rsid w:val="152B4386"/>
    <w:rsid w:val="152F2D1F"/>
    <w:rsid w:val="15322446"/>
    <w:rsid w:val="153B0F5F"/>
    <w:rsid w:val="1550313F"/>
    <w:rsid w:val="155311D5"/>
    <w:rsid w:val="157B135B"/>
    <w:rsid w:val="1591556B"/>
    <w:rsid w:val="1593442C"/>
    <w:rsid w:val="15AE7598"/>
    <w:rsid w:val="15B554AD"/>
    <w:rsid w:val="15B7346D"/>
    <w:rsid w:val="15D54361"/>
    <w:rsid w:val="15DF78B5"/>
    <w:rsid w:val="15EA00B5"/>
    <w:rsid w:val="15F01D49"/>
    <w:rsid w:val="15F115EE"/>
    <w:rsid w:val="160008A3"/>
    <w:rsid w:val="16087E1D"/>
    <w:rsid w:val="161A313F"/>
    <w:rsid w:val="161B2D41"/>
    <w:rsid w:val="163862D4"/>
    <w:rsid w:val="16431A37"/>
    <w:rsid w:val="16441DF3"/>
    <w:rsid w:val="16443E43"/>
    <w:rsid w:val="164B00EB"/>
    <w:rsid w:val="166B7010"/>
    <w:rsid w:val="16874B8E"/>
    <w:rsid w:val="16B721BA"/>
    <w:rsid w:val="16BB1D2A"/>
    <w:rsid w:val="16DB2E45"/>
    <w:rsid w:val="16EA2C3C"/>
    <w:rsid w:val="16EA45EE"/>
    <w:rsid w:val="16F164C4"/>
    <w:rsid w:val="17106EB9"/>
    <w:rsid w:val="171329D6"/>
    <w:rsid w:val="17325846"/>
    <w:rsid w:val="173D25D7"/>
    <w:rsid w:val="174340FA"/>
    <w:rsid w:val="174E7881"/>
    <w:rsid w:val="175C0611"/>
    <w:rsid w:val="175E7FAE"/>
    <w:rsid w:val="17701D14"/>
    <w:rsid w:val="17735226"/>
    <w:rsid w:val="177F663B"/>
    <w:rsid w:val="179023EA"/>
    <w:rsid w:val="17AE5362"/>
    <w:rsid w:val="17D71481"/>
    <w:rsid w:val="17E1756B"/>
    <w:rsid w:val="17F22E35"/>
    <w:rsid w:val="180E1A30"/>
    <w:rsid w:val="185A499E"/>
    <w:rsid w:val="186F375C"/>
    <w:rsid w:val="189160AA"/>
    <w:rsid w:val="189F624C"/>
    <w:rsid w:val="18E0181D"/>
    <w:rsid w:val="18FE2EED"/>
    <w:rsid w:val="1932711D"/>
    <w:rsid w:val="19503BC1"/>
    <w:rsid w:val="1956693B"/>
    <w:rsid w:val="19614242"/>
    <w:rsid w:val="19AE43C4"/>
    <w:rsid w:val="19B77C7D"/>
    <w:rsid w:val="19DE007F"/>
    <w:rsid w:val="19E331C7"/>
    <w:rsid w:val="1A1C66C0"/>
    <w:rsid w:val="1A2E0420"/>
    <w:rsid w:val="1A38018E"/>
    <w:rsid w:val="1A3B59E9"/>
    <w:rsid w:val="1A42393B"/>
    <w:rsid w:val="1A4B37E8"/>
    <w:rsid w:val="1A5139E1"/>
    <w:rsid w:val="1A625BA7"/>
    <w:rsid w:val="1A772A39"/>
    <w:rsid w:val="1A9C103E"/>
    <w:rsid w:val="1A9F0940"/>
    <w:rsid w:val="1AA60AF6"/>
    <w:rsid w:val="1AAD45DE"/>
    <w:rsid w:val="1AC143EA"/>
    <w:rsid w:val="1B046F80"/>
    <w:rsid w:val="1B2C7C34"/>
    <w:rsid w:val="1B3267B5"/>
    <w:rsid w:val="1B3C0529"/>
    <w:rsid w:val="1B3D6C80"/>
    <w:rsid w:val="1B40161D"/>
    <w:rsid w:val="1B441859"/>
    <w:rsid w:val="1B4D3BD6"/>
    <w:rsid w:val="1B61263C"/>
    <w:rsid w:val="1B620CC8"/>
    <w:rsid w:val="1B646CA8"/>
    <w:rsid w:val="1B6606B1"/>
    <w:rsid w:val="1B711D52"/>
    <w:rsid w:val="1B715E66"/>
    <w:rsid w:val="1B78697D"/>
    <w:rsid w:val="1B855567"/>
    <w:rsid w:val="1BC10C42"/>
    <w:rsid w:val="1BCE327C"/>
    <w:rsid w:val="1BF260EF"/>
    <w:rsid w:val="1BF40D9A"/>
    <w:rsid w:val="1C03651A"/>
    <w:rsid w:val="1C114CD6"/>
    <w:rsid w:val="1C476C9E"/>
    <w:rsid w:val="1C4B6D8A"/>
    <w:rsid w:val="1C5E7925"/>
    <w:rsid w:val="1C8C4235"/>
    <w:rsid w:val="1C962A47"/>
    <w:rsid w:val="1C9B4788"/>
    <w:rsid w:val="1CC01D49"/>
    <w:rsid w:val="1CCE4FD0"/>
    <w:rsid w:val="1CD90B3C"/>
    <w:rsid w:val="1CF80793"/>
    <w:rsid w:val="1CFD070F"/>
    <w:rsid w:val="1D033768"/>
    <w:rsid w:val="1D160E2E"/>
    <w:rsid w:val="1D1F2F14"/>
    <w:rsid w:val="1D2874BA"/>
    <w:rsid w:val="1D5F6196"/>
    <w:rsid w:val="1D6132A5"/>
    <w:rsid w:val="1D767DDE"/>
    <w:rsid w:val="1D780B47"/>
    <w:rsid w:val="1D837B7B"/>
    <w:rsid w:val="1D8E56D5"/>
    <w:rsid w:val="1DD000DA"/>
    <w:rsid w:val="1DD360C1"/>
    <w:rsid w:val="1DEC706D"/>
    <w:rsid w:val="1DF4521D"/>
    <w:rsid w:val="1DF65B87"/>
    <w:rsid w:val="1DFD14A7"/>
    <w:rsid w:val="1E0908D4"/>
    <w:rsid w:val="1E1A653C"/>
    <w:rsid w:val="1E2622E8"/>
    <w:rsid w:val="1E2D6270"/>
    <w:rsid w:val="1E4C5855"/>
    <w:rsid w:val="1E556E6D"/>
    <w:rsid w:val="1E643B72"/>
    <w:rsid w:val="1E7322E4"/>
    <w:rsid w:val="1E7A43DA"/>
    <w:rsid w:val="1EB60ACE"/>
    <w:rsid w:val="1ED80807"/>
    <w:rsid w:val="1EE37E54"/>
    <w:rsid w:val="1EE60A12"/>
    <w:rsid w:val="1EEF52E1"/>
    <w:rsid w:val="1F0D47CB"/>
    <w:rsid w:val="1F194C1A"/>
    <w:rsid w:val="1F262A5E"/>
    <w:rsid w:val="1F2B2775"/>
    <w:rsid w:val="1F2C2717"/>
    <w:rsid w:val="1F3B0574"/>
    <w:rsid w:val="1F5D6C0B"/>
    <w:rsid w:val="1F641D4E"/>
    <w:rsid w:val="1F6D440A"/>
    <w:rsid w:val="1F7C3BD9"/>
    <w:rsid w:val="1FCA5B59"/>
    <w:rsid w:val="1FD9602D"/>
    <w:rsid w:val="1FE7539E"/>
    <w:rsid w:val="20032679"/>
    <w:rsid w:val="2017019E"/>
    <w:rsid w:val="2018180B"/>
    <w:rsid w:val="20245BB7"/>
    <w:rsid w:val="202F6BEB"/>
    <w:rsid w:val="203A29C2"/>
    <w:rsid w:val="20551DBB"/>
    <w:rsid w:val="205D0087"/>
    <w:rsid w:val="206066BE"/>
    <w:rsid w:val="20671BE0"/>
    <w:rsid w:val="2084469A"/>
    <w:rsid w:val="20861CC5"/>
    <w:rsid w:val="20963CB8"/>
    <w:rsid w:val="20985B38"/>
    <w:rsid w:val="20A42995"/>
    <w:rsid w:val="20A81A1B"/>
    <w:rsid w:val="20B07FB6"/>
    <w:rsid w:val="20B646FB"/>
    <w:rsid w:val="20C901CD"/>
    <w:rsid w:val="20C95C37"/>
    <w:rsid w:val="20DC4EFD"/>
    <w:rsid w:val="21243B88"/>
    <w:rsid w:val="213B6A01"/>
    <w:rsid w:val="213B74B1"/>
    <w:rsid w:val="213B7C04"/>
    <w:rsid w:val="215A2310"/>
    <w:rsid w:val="216561B7"/>
    <w:rsid w:val="217C0C3B"/>
    <w:rsid w:val="217F0425"/>
    <w:rsid w:val="219A700D"/>
    <w:rsid w:val="219D419E"/>
    <w:rsid w:val="21B500AF"/>
    <w:rsid w:val="21CD5211"/>
    <w:rsid w:val="21D55413"/>
    <w:rsid w:val="21DA3F49"/>
    <w:rsid w:val="21DE318A"/>
    <w:rsid w:val="21EF5B80"/>
    <w:rsid w:val="21FF6415"/>
    <w:rsid w:val="22167C71"/>
    <w:rsid w:val="223E5711"/>
    <w:rsid w:val="22482F0D"/>
    <w:rsid w:val="22576990"/>
    <w:rsid w:val="226A0CB7"/>
    <w:rsid w:val="22786E3D"/>
    <w:rsid w:val="229B3297"/>
    <w:rsid w:val="22D16A5E"/>
    <w:rsid w:val="22EF634C"/>
    <w:rsid w:val="22F47480"/>
    <w:rsid w:val="22F730ED"/>
    <w:rsid w:val="231971F9"/>
    <w:rsid w:val="23340446"/>
    <w:rsid w:val="234979AF"/>
    <w:rsid w:val="23604EB7"/>
    <w:rsid w:val="236101BE"/>
    <w:rsid w:val="236B0AF8"/>
    <w:rsid w:val="237306C6"/>
    <w:rsid w:val="23751ADF"/>
    <w:rsid w:val="238E05E1"/>
    <w:rsid w:val="23B73EA6"/>
    <w:rsid w:val="23DD3793"/>
    <w:rsid w:val="23DE1C48"/>
    <w:rsid w:val="23DF2F32"/>
    <w:rsid w:val="23E3039C"/>
    <w:rsid w:val="240210CD"/>
    <w:rsid w:val="2429749F"/>
    <w:rsid w:val="24355529"/>
    <w:rsid w:val="243C25FD"/>
    <w:rsid w:val="244E034B"/>
    <w:rsid w:val="245E5A45"/>
    <w:rsid w:val="247753E3"/>
    <w:rsid w:val="247E794C"/>
    <w:rsid w:val="24A47E99"/>
    <w:rsid w:val="24BA0377"/>
    <w:rsid w:val="24BF09F7"/>
    <w:rsid w:val="24CF047F"/>
    <w:rsid w:val="24D665AE"/>
    <w:rsid w:val="25157866"/>
    <w:rsid w:val="25210C94"/>
    <w:rsid w:val="252239C0"/>
    <w:rsid w:val="252D53FE"/>
    <w:rsid w:val="25430FA1"/>
    <w:rsid w:val="256B02CA"/>
    <w:rsid w:val="25702641"/>
    <w:rsid w:val="25B15143"/>
    <w:rsid w:val="25C44D8C"/>
    <w:rsid w:val="25C538E8"/>
    <w:rsid w:val="25E432FC"/>
    <w:rsid w:val="25E707F7"/>
    <w:rsid w:val="25EC2D81"/>
    <w:rsid w:val="25F1361E"/>
    <w:rsid w:val="26032C3B"/>
    <w:rsid w:val="260521D7"/>
    <w:rsid w:val="260878D7"/>
    <w:rsid w:val="263A75B6"/>
    <w:rsid w:val="264C1120"/>
    <w:rsid w:val="26602DA3"/>
    <w:rsid w:val="26631034"/>
    <w:rsid w:val="26AF601B"/>
    <w:rsid w:val="26B4291F"/>
    <w:rsid w:val="26B868CB"/>
    <w:rsid w:val="26CE2F66"/>
    <w:rsid w:val="26D712D2"/>
    <w:rsid w:val="26DF3010"/>
    <w:rsid w:val="26E71009"/>
    <w:rsid w:val="273852FE"/>
    <w:rsid w:val="273A7B96"/>
    <w:rsid w:val="27567F46"/>
    <w:rsid w:val="277057A2"/>
    <w:rsid w:val="278E3AFB"/>
    <w:rsid w:val="279F5BBC"/>
    <w:rsid w:val="27A153D2"/>
    <w:rsid w:val="27AC7C0F"/>
    <w:rsid w:val="27B147D9"/>
    <w:rsid w:val="27DE31D3"/>
    <w:rsid w:val="27E34405"/>
    <w:rsid w:val="27F41C53"/>
    <w:rsid w:val="282E05E9"/>
    <w:rsid w:val="284F5644"/>
    <w:rsid w:val="28581F1C"/>
    <w:rsid w:val="28601BE1"/>
    <w:rsid w:val="28617F01"/>
    <w:rsid w:val="28706B38"/>
    <w:rsid w:val="2875724A"/>
    <w:rsid w:val="287D3670"/>
    <w:rsid w:val="2897561C"/>
    <w:rsid w:val="289D5BCF"/>
    <w:rsid w:val="28CB3F50"/>
    <w:rsid w:val="28DA6D8B"/>
    <w:rsid w:val="29135AD6"/>
    <w:rsid w:val="29206EB8"/>
    <w:rsid w:val="293D3B18"/>
    <w:rsid w:val="294556F3"/>
    <w:rsid w:val="2954082F"/>
    <w:rsid w:val="29595666"/>
    <w:rsid w:val="295A7B4D"/>
    <w:rsid w:val="29783E33"/>
    <w:rsid w:val="29874881"/>
    <w:rsid w:val="298F1421"/>
    <w:rsid w:val="29A17C45"/>
    <w:rsid w:val="29AE7AF9"/>
    <w:rsid w:val="29C76A57"/>
    <w:rsid w:val="29CE41D8"/>
    <w:rsid w:val="29E325E0"/>
    <w:rsid w:val="29E975F8"/>
    <w:rsid w:val="29EC76CF"/>
    <w:rsid w:val="2A172188"/>
    <w:rsid w:val="2A204FCF"/>
    <w:rsid w:val="2A452503"/>
    <w:rsid w:val="2A64640A"/>
    <w:rsid w:val="2A71284D"/>
    <w:rsid w:val="2A746BC0"/>
    <w:rsid w:val="2A746FC5"/>
    <w:rsid w:val="2AAE19F2"/>
    <w:rsid w:val="2AC11FCC"/>
    <w:rsid w:val="2ACB4BED"/>
    <w:rsid w:val="2ACD30E6"/>
    <w:rsid w:val="2AD06C66"/>
    <w:rsid w:val="2B211492"/>
    <w:rsid w:val="2B261D5D"/>
    <w:rsid w:val="2B2A7653"/>
    <w:rsid w:val="2B2F0CA8"/>
    <w:rsid w:val="2B3E3AAB"/>
    <w:rsid w:val="2B4D3342"/>
    <w:rsid w:val="2B6B2CA8"/>
    <w:rsid w:val="2B7C29A0"/>
    <w:rsid w:val="2BA936A8"/>
    <w:rsid w:val="2BAB2538"/>
    <w:rsid w:val="2BDE1084"/>
    <w:rsid w:val="2BFB4B4C"/>
    <w:rsid w:val="2C315A5A"/>
    <w:rsid w:val="2C4267BA"/>
    <w:rsid w:val="2C4B1C25"/>
    <w:rsid w:val="2C4C7DCA"/>
    <w:rsid w:val="2C656151"/>
    <w:rsid w:val="2C6C5F8B"/>
    <w:rsid w:val="2CE729C4"/>
    <w:rsid w:val="2CEF5933"/>
    <w:rsid w:val="2CFC1D75"/>
    <w:rsid w:val="2D2D6F87"/>
    <w:rsid w:val="2D3B64AB"/>
    <w:rsid w:val="2D613AB2"/>
    <w:rsid w:val="2D6314F4"/>
    <w:rsid w:val="2D666C9C"/>
    <w:rsid w:val="2D717E41"/>
    <w:rsid w:val="2D8501A3"/>
    <w:rsid w:val="2D960FD0"/>
    <w:rsid w:val="2D9E56F5"/>
    <w:rsid w:val="2DA24E24"/>
    <w:rsid w:val="2DA836CE"/>
    <w:rsid w:val="2DCB251D"/>
    <w:rsid w:val="2DDA05BC"/>
    <w:rsid w:val="2DF278DA"/>
    <w:rsid w:val="2E2465DC"/>
    <w:rsid w:val="2E334A71"/>
    <w:rsid w:val="2E373302"/>
    <w:rsid w:val="2E4C78E1"/>
    <w:rsid w:val="2E667F96"/>
    <w:rsid w:val="2E810933"/>
    <w:rsid w:val="2E8226AB"/>
    <w:rsid w:val="2E982B26"/>
    <w:rsid w:val="2E9E5116"/>
    <w:rsid w:val="2EA3385C"/>
    <w:rsid w:val="2EBA25F7"/>
    <w:rsid w:val="2EBB668D"/>
    <w:rsid w:val="2ED447F1"/>
    <w:rsid w:val="2EED69CE"/>
    <w:rsid w:val="2EF37D5C"/>
    <w:rsid w:val="2F217B18"/>
    <w:rsid w:val="2F2760AD"/>
    <w:rsid w:val="2F297249"/>
    <w:rsid w:val="2F3407C3"/>
    <w:rsid w:val="2F3A08B9"/>
    <w:rsid w:val="2F3B491A"/>
    <w:rsid w:val="2F4227FE"/>
    <w:rsid w:val="2F454A6C"/>
    <w:rsid w:val="2F662E8C"/>
    <w:rsid w:val="2F663E49"/>
    <w:rsid w:val="2F757B03"/>
    <w:rsid w:val="2F8F6EF6"/>
    <w:rsid w:val="2FA94B02"/>
    <w:rsid w:val="2FC00586"/>
    <w:rsid w:val="2FD065E6"/>
    <w:rsid w:val="2FD23A03"/>
    <w:rsid w:val="2FD96870"/>
    <w:rsid w:val="2FDB7E17"/>
    <w:rsid w:val="2FF81F13"/>
    <w:rsid w:val="301672EB"/>
    <w:rsid w:val="3028530B"/>
    <w:rsid w:val="302A53CF"/>
    <w:rsid w:val="30580BC9"/>
    <w:rsid w:val="305C0FC5"/>
    <w:rsid w:val="305E0195"/>
    <w:rsid w:val="3062163D"/>
    <w:rsid w:val="30704669"/>
    <w:rsid w:val="3091270D"/>
    <w:rsid w:val="309C5AE2"/>
    <w:rsid w:val="309E259A"/>
    <w:rsid w:val="30E81728"/>
    <w:rsid w:val="31062546"/>
    <w:rsid w:val="31104BF6"/>
    <w:rsid w:val="311E2ED7"/>
    <w:rsid w:val="31257914"/>
    <w:rsid w:val="31345E9E"/>
    <w:rsid w:val="313A747B"/>
    <w:rsid w:val="315619EE"/>
    <w:rsid w:val="315C449C"/>
    <w:rsid w:val="317E24A7"/>
    <w:rsid w:val="318D646E"/>
    <w:rsid w:val="31B82709"/>
    <w:rsid w:val="31C53C32"/>
    <w:rsid w:val="31D05482"/>
    <w:rsid w:val="31ED0E5A"/>
    <w:rsid w:val="31EE7F56"/>
    <w:rsid w:val="320640BD"/>
    <w:rsid w:val="3220530C"/>
    <w:rsid w:val="32234DAE"/>
    <w:rsid w:val="322F6556"/>
    <w:rsid w:val="32400B34"/>
    <w:rsid w:val="32413694"/>
    <w:rsid w:val="32476505"/>
    <w:rsid w:val="324B36BD"/>
    <w:rsid w:val="324E1E79"/>
    <w:rsid w:val="32550328"/>
    <w:rsid w:val="327315AC"/>
    <w:rsid w:val="32787440"/>
    <w:rsid w:val="327A66A6"/>
    <w:rsid w:val="329E6876"/>
    <w:rsid w:val="32CC087F"/>
    <w:rsid w:val="32CE7816"/>
    <w:rsid w:val="32D2704E"/>
    <w:rsid w:val="32E52440"/>
    <w:rsid w:val="330909E3"/>
    <w:rsid w:val="331035D3"/>
    <w:rsid w:val="331A7FAD"/>
    <w:rsid w:val="331B67E0"/>
    <w:rsid w:val="332110D4"/>
    <w:rsid w:val="333015F2"/>
    <w:rsid w:val="333B509D"/>
    <w:rsid w:val="333C2B21"/>
    <w:rsid w:val="334042CC"/>
    <w:rsid w:val="33475AA9"/>
    <w:rsid w:val="334B6320"/>
    <w:rsid w:val="3354018D"/>
    <w:rsid w:val="337D5502"/>
    <w:rsid w:val="33823D62"/>
    <w:rsid w:val="33926516"/>
    <w:rsid w:val="339F479A"/>
    <w:rsid w:val="33C311B3"/>
    <w:rsid w:val="33C3517A"/>
    <w:rsid w:val="33D934D4"/>
    <w:rsid w:val="33DA0602"/>
    <w:rsid w:val="33DA5F86"/>
    <w:rsid w:val="33FE2F6A"/>
    <w:rsid w:val="34052A0C"/>
    <w:rsid w:val="340E07E5"/>
    <w:rsid w:val="341D3EED"/>
    <w:rsid w:val="34235BF7"/>
    <w:rsid w:val="34235C94"/>
    <w:rsid w:val="343E7292"/>
    <w:rsid w:val="34560A5D"/>
    <w:rsid w:val="34624DF2"/>
    <w:rsid w:val="34920A02"/>
    <w:rsid w:val="34B11B1A"/>
    <w:rsid w:val="34CB2407"/>
    <w:rsid w:val="34CD397D"/>
    <w:rsid w:val="34D32C23"/>
    <w:rsid w:val="34FD585B"/>
    <w:rsid w:val="351D352C"/>
    <w:rsid w:val="353A5FA1"/>
    <w:rsid w:val="35453B6F"/>
    <w:rsid w:val="355B05BE"/>
    <w:rsid w:val="355F6889"/>
    <w:rsid w:val="358C5FA8"/>
    <w:rsid w:val="358D235F"/>
    <w:rsid w:val="35956BF6"/>
    <w:rsid w:val="35C15DF1"/>
    <w:rsid w:val="35D94E87"/>
    <w:rsid w:val="35EB4BD9"/>
    <w:rsid w:val="36074A7F"/>
    <w:rsid w:val="36093CDD"/>
    <w:rsid w:val="3619232D"/>
    <w:rsid w:val="36787CEF"/>
    <w:rsid w:val="36923549"/>
    <w:rsid w:val="36985337"/>
    <w:rsid w:val="36A302BA"/>
    <w:rsid w:val="36B37AC7"/>
    <w:rsid w:val="36B75FBF"/>
    <w:rsid w:val="36BD0C45"/>
    <w:rsid w:val="36BF6B5B"/>
    <w:rsid w:val="36D80FB6"/>
    <w:rsid w:val="36EC7EB3"/>
    <w:rsid w:val="36FB3E8C"/>
    <w:rsid w:val="370A20E7"/>
    <w:rsid w:val="371E646D"/>
    <w:rsid w:val="372413FB"/>
    <w:rsid w:val="37384EA6"/>
    <w:rsid w:val="373F4867"/>
    <w:rsid w:val="375D6A89"/>
    <w:rsid w:val="377701AD"/>
    <w:rsid w:val="379C48F8"/>
    <w:rsid w:val="379E11AD"/>
    <w:rsid w:val="37A758E8"/>
    <w:rsid w:val="37AA0860"/>
    <w:rsid w:val="37D05BFD"/>
    <w:rsid w:val="37E00298"/>
    <w:rsid w:val="37ED1158"/>
    <w:rsid w:val="37F91943"/>
    <w:rsid w:val="382C121D"/>
    <w:rsid w:val="383C09C6"/>
    <w:rsid w:val="38543F63"/>
    <w:rsid w:val="3894303F"/>
    <w:rsid w:val="389F3C23"/>
    <w:rsid w:val="38AC63FA"/>
    <w:rsid w:val="38B302F9"/>
    <w:rsid w:val="38C21F7C"/>
    <w:rsid w:val="38DC7D48"/>
    <w:rsid w:val="38F12CD3"/>
    <w:rsid w:val="38F47789"/>
    <w:rsid w:val="38F94775"/>
    <w:rsid w:val="38FD6FCB"/>
    <w:rsid w:val="391E29C3"/>
    <w:rsid w:val="392348BC"/>
    <w:rsid w:val="392971ED"/>
    <w:rsid w:val="39325651"/>
    <w:rsid w:val="395D1C58"/>
    <w:rsid w:val="395E05C6"/>
    <w:rsid w:val="397A3404"/>
    <w:rsid w:val="39822B78"/>
    <w:rsid w:val="39823D01"/>
    <w:rsid w:val="3995289C"/>
    <w:rsid w:val="399B2148"/>
    <w:rsid w:val="399E73E0"/>
    <w:rsid w:val="39AD515B"/>
    <w:rsid w:val="39BA2E09"/>
    <w:rsid w:val="39F350B4"/>
    <w:rsid w:val="3A127D80"/>
    <w:rsid w:val="3A157721"/>
    <w:rsid w:val="3A23658B"/>
    <w:rsid w:val="3A324B96"/>
    <w:rsid w:val="3A3E61B6"/>
    <w:rsid w:val="3A4D6D14"/>
    <w:rsid w:val="3A5F51F6"/>
    <w:rsid w:val="3A7B21C8"/>
    <w:rsid w:val="3A7F7AE7"/>
    <w:rsid w:val="3A872856"/>
    <w:rsid w:val="3A8B1791"/>
    <w:rsid w:val="3A9C399E"/>
    <w:rsid w:val="3AB66115"/>
    <w:rsid w:val="3ABF2468"/>
    <w:rsid w:val="3ACE22B5"/>
    <w:rsid w:val="3AD84C29"/>
    <w:rsid w:val="3ADA5251"/>
    <w:rsid w:val="3AE06396"/>
    <w:rsid w:val="3AFE7537"/>
    <w:rsid w:val="3B0C3572"/>
    <w:rsid w:val="3B1D46EB"/>
    <w:rsid w:val="3B24345B"/>
    <w:rsid w:val="3B3763D1"/>
    <w:rsid w:val="3B3A0C29"/>
    <w:rsid w:val="3B403AF8"/>
    <w:rsid w:val="3B532B7D"/>
    <w:rsid w:val="3B5469EE"/>
    <w:rsid w:val="3B59094A"/>
    <w:rsid w:val="3B751F26"/>
    <w:rsid w:val="3B8458C4"/>
    <w:rsid w:val="3B9516BB"/>
    <w:rsid w:val="3BA60032"/>
    <w:rsid w:val="3BB746A1"/>
    <w:rsid w:val="3BB865B6"/>
    <w:rsid w:val="3BBB4040"/>
    <w:rsid w:val="3BC742B0"/>
    <w:rsid w:val="3BF12E6B"/>
    <w:rsid w:val="3C0853DC"/>
    <w:rsid w:val="3C2F6E1E"/>
    <w:rsid w:val="3C4F64BA"/>
    <w:rsid w:val="3C7261ED"/>
    <w:rsid w:val="3CA71B9E"/>
    <w:rsid w:val="3CA94DF1"/>
    <w:rsid w:val="3CB6307F"/>
    <w:rsid w:val="3CBD293A"/>
    <w:rsid w:val="3CD13DD3"/>
    <w:rsid w:val="3CDA245A"/>
    <w:rsid w:val="3CED24B0"/>
    <w:rsid w:val="3CF25AF7"/>
    <w:rsid w:val="3CFE35A8"/>
    <w:rsid w:val="3D1E06B7"/>
    <w:rsid w:val="3D1F21CB"/>
    <w:rsid w:val="3D3555D5"/>
    <w:rsid w:val="3D3D6D72"/>
    <w:rsid w:val="3D5F789D"/>
    <w:rsid w:val="3D8A5E4F"/>
    <w:rsid w:val="3D8F3346"/>
    <w:rsid w:val="3D9155F5"/>
    <w:rsid w:val="3DAC0B75"/>
    <w:rsid w:val="3DAE0451"/>
    <w:rsid w:val="3DC92FE5"/>
    <w:rsid w:val="3DCC00F6"/>
    <w:rsid w:val="3DF658FE"/>
    <w:rsid w:val="3E312147"/>
    <w:rsid w:val="3E36630C"/>
    <w:rsid w:val="3E693B97"/>
    <w:rsid w:val="3E6A208A"/>
    <w:rsid w:val="3E6D3687"/>
    <w:rsid w:val="3E7922C4"/>
    <w:rsid w:val="3E7E0987"/>
    <w:rsid w:val="3E86568C"/>
    <w:rsid w:val="3E991A1A"/>
    <w:rsid w:val="3EAB41B0"/>
    <w:rsid w:val="3EBB4EED"/>
    <w:rsid w:val="3EDA0523"/>
    <w:rsid w:val="3F071E3C"/>
    <w:rsid w:val="3F0B6ACB"/>
    <w:rsid w:val="3F0C1DB1"/>
    <w:rsid w:val="3F115FC5"/>
    <w:rsid w:val="3F2A1578"/>
    <w:rsid w:val="3F546D59"/>
    <w:rsid w:val="3F7E52C8"/>
    <w:rsid w:val="3F8127EA"/>
    <w:rsid w:val="3F883830"/>
    <w:rsid w:val="3F88609E"/>
    <w:rsid w:val="3F9C523D"/>
    <w:rsid w:val="3FC629BF"/>
    <w:rsid w:val="3FDB68B6"/>
    <w:rsid w:val="3FE1257F"/>
    <w:rsid w:val="400861F5"/>
    <w:rsid w:val="401F57FF"/>
    <w:rsid w:val="40283E0F"/>
    <w:rsid w:val="4031491C"/>
    <w:rsid w:val="40362178"/>
    <w:rsid w:val="403F3755"/>
    <w:rsid w:val="40493970"/>
    <w:rsid w:val="406D459B"/>
    <w:rsid w:val="407A6407"/>
    <w:rsid w:val="40925627"/>
    <w:rsid w:val="40D4453E"/>
    <w:rsid w:val="40DE4C5C"/>
    <w:rsid w:val="40EE2905"/>
    <w:rsid w:val="412A2DC9"/>
    <w:rsid w:val="41316D35"/>
    <w:rsid w:val="416028BC"/>
    <w:rsid w:val="41657C59"/>
    <w:rsid w:val="417F5EA3"/>
    <w:rsid w:val="419C3F4A"/>
    <w:rsid w:val="41AB2B32"/>
    <w:rsid w:val="4200449D"/>
    <w:rsid w:val="422A6BBD"/>
    <w:rsid w:val="423A3BCC"/>
    <w:rsid w:val="423B2B96"/>
    <w:rsid w:val="424E57D2"/>
    <w:rsid w:val="42502477"/>
    <w:rsid w:val="42731BF5"/>
    <w:rsid w:val="428E2C5F"/>
    <w:rsid w:val="42B26C49"/>
    <w:rsid w:val="42B34C88"/>
    <w:rsid w:val="42B70401"/>
    <w:rsid w:val="42C229D9"/>
    <w:rsid w:val="42CD6014"/>
    <w:rsid w:val="42CE429C"/>
    <w:rsid w:val="42DD1AB0"/>
    <w:rsid w:val="42DE7E83"/>
    <w:rsid w:val="42EC7934"/>
    <w:rsid w:val="42F8469D"/>
    <w:rsid w:val="4311121F"/>
    <w:rsid w:val="43235DDC"/>
    <w:rsid w:val="4327103E"/>
    <w:rsid w:val="433A6FE6"/>
    <w:rsid w:val="43421C02"/>
    <w:rsid w:val="43480868"/>
    <w:rsid w:val="434C1C7B"/>
    <w:rsid w:val="4350713C"/>
    <w:rsid w:val="436112E1"/>
    <w:rsid w:val="436653E0"/>
    <w:rsid w:val="436A6A9C"/>
    <w:rsid w:val="437474D7"/>
    <w:rsid w:val="43B22E45"/>
    <w:rsid w:val="43C4431A"/>
    <w:rsid w:val="43D25FB6"/>
    <w:rsid w:val="43DB1093"/>
    <w:rsid w:val="43EE30DF"/>
    <w:rsid w:val="440103EB"/>
    <w:rsid w:val="440476D6"/>
    <w:rsid w:val="44112D07"/>
    <w:rsid w:val="441843E0"/>
    <w:rsid w:val="442F44BA"/>
    <w:rsid w:val="443568B2"/>
    <w:rsid w:val="443C7669"/>
    <w:rsid w:val="44432C1F"/>
    <w:rsid w:val="44613C8E"/>
    <w:rsid w:val="44680C4E"/>
    <w:rsid w:val="4468136C"/>
    <w:rsid w:val="446E700F"/>
    <w:rsid w:val="447248A7"/>
    <w:rsid w:val="44B951CC"/>
    <w:rsid w:val="44CD14E0"/>
    <w:rsid w:val="44F20B0B"/>
    <w:rsid w:val="44F717B2"/>
    <w:rsid w:val="451342AE"/>
    <w:rsid w:val="452D34D2"/>
    <w:rsid w:val="452E5F4C"/>
    <w:rsid w:val="45314492"/>
    <w:rsid w:val="45344B80"/>
    <w:rsid w:val="453629DF"/>
    <w:rsid w:val="45592BB7"/>
    <w:rsid w:val="456028C7"/>
    <w:rsid w:val="45612018"/>
    <w:rsid w:val="45663C61"/>
    <w:rsid w:val="45885BAF"/>
    <w:rsid w:val="45891C7A"/>
    <w:rsid w:val="458946E9"/>
    <w:rsid w:val="459040FF"/>
    <w:rsid w:val="45A47C0E"/>
    <w:rsid w:val="45A5415D"/>
    <w:rsid w:val="45BA5E47"/>
    <w:rsid w:val="45BB28C9"/>
    <w:rsid w:val="45BF048B"/>
    <w:rsid w:val="45DC4B48"/>
    <w:rsid w:val="460B110B"/>
    <w:rsid w:val="46523CD0"/>
    <w:rsid w:val="46577FD6"/>
    <w:rsid w:val="46625555"/>
    <w:rsid w:val="46877169"/>
    <w:rsid w:val="4689428B"/>
    <w:rsid w:val="46935102"/>
    <w:rsid w:val="46C45BE2"/>
    <w:rsid w:val="46CA7800"/>
    <w:rsid w:val="46D21AC8"/>
    <w:rsid w:val="46D955A7"/>
    <w:rsid w:val="46E53199"/>
    <w:rsid w:val="46E60289"/>
    <w:rsid w:val="46E83A77"/>
    <w:rsid w:val="46ED0FAC"/>
    <w:rsid w:val="46ED1809"/>
    <w:rsid w:val="46F53BEA"/>
    <w:rsid w:val="46FD4D1D"/>
    <w:rsid w:val="47133957"/>
    <w:rsid w:val="47172FCE"/>
    <w:rsid w:val="473E5008"/>
    <w:rsid w:val="4746481C"/>
    <w:rsid w:val="474A0724"/>
    <w:rsid w:val="47675BD4"/>
    <w:rsid w:val="47825727"/>
    <w:rsid w:val="478700FE"/>
    <w:rsid w:val="478A2DA4"/>
    <w:rsid w:val="479156B5"/>
    <w:rsid w:val="47A07E0C"/>
    <w:rsid w:val="47C67E4A"/>
    <w:rsid w:val="47E431A4"/>
    <w:rsid w:val="47E56984"/>
    <w:rsid w:val="47EB4302"/>
    <w:rsid w:val="480820F4"/>
    <w:rsid w:val="48097A68"/>
    <w:rsid w:val="4828061F"/>
    <w:rsid w:val="482D22AA"/>
    <w:rsid w:val="484C255F"/>
    <w:rsid w:val="48532991"/>
    <w:rsid w:val="486A6170"/>
    <w:rsid w:val="486B2B94"/>
    <w:rsid w:val="4870272E"/>
    <w:rsid w:val="488341FB"/>
    <w:rsid w:val="48906473"/>
    <w:rsid w:val="48B56357"/>
    <w:rsid w:val="48BA7A23"/>
    <w:rsid w:val="48BD1534"/>
    <w:rsid w:val="48E57644"/>
    <w:rsid w:val="48E72288"/>
    <w:rsid w:val="48F073AB"/>
    <w:rsid w:val="49060960"/>
    <w:rsid w:val="492A4B9C"/>
    <w:rsid w:val="492D410B"/>
    <w:rsid w:val="49381836"/>
    <w:rsid w:val="494845E1"/>
    <w:rsid w:val="497E5FD2"/>
    <w:rsid w:val="498368F9"/>
    <w:rsid w:val="499426C9"/>
    <w:rsid w:val="499F0DB5"/>
    <w:rsid w:val="49C65F8F"/>
    <w:rsid w:val="49C71466"/>
    <w:rsid w:val="49DC7715"/>
    <w:rsid w:val="49DD1F56"/>
    <w:rsid w:val="49E35EF4"/>
    <w:rsid w:val="49E75190"/>
    <w:rsid w:val="49EF5898"/>
    <w:rsid w:val="49F7109D"/>
    <w:rsid w:val="4A023139"/>
    <w:rsid w:val="4A2A5A61"/>
    <w:rsid w:val="4A5A75CD"/>
    <w:rsid w:val="4A5C29E4"/>
    <w:rsid w:val="4A652097"/>
    <w:rsid w:val="4A710120"/>
    <w:rsid w:val="4A734DCB"/>
    <w:rsid w:val="4A7B576F"/>
    <w:rsid w:val="4AD45C21"/>
    <w:rsid w:val="4AF561A9"/>
    <w:rsid w:val="4B01301B"/>
    <w:rsid w:val="4B4B4752"/>
    <w:rsid w:val="4B62718A"/>
    <w:rsid w:val="4B742358"/>
    <w:rsid w:val="4BA75F08"/>
    <w:rsid w:val="4BA82EF5"/>
    <w:rsid w:val="4BED2B7A"/>
    <w:rsid w:val="4C186D4B"/>
    <w:rsid w:val="4C4401C8"/>
    <w:rsid w:val="4C4A0649"/>
    <w:rsid w:val="4C512AE6"/>
    <w:rsid w:val="4C5E4B0D"/>
    <w:rsid w:val="4C741D92"/>
    <w:rsid w:val="4C7E5ECA"/>
    <w:rsid w:val="4C876AA5"/>
    <w:rsid w:val="4CDB6390"/>
    <w:rsid w:val="4CEA32EA"/>
    <w:rsid w:val="4CFC6D95"/>
    <w:rsid w:val="4D065A0E"/>
    <w:rsid w:val="4D0E00FB"/>
    <w:rsid w:val="4D176606"/>
    <w:rsid w:val="4D234C50"/>
    <w:rsid w:val="4D2B4E39"/>
    <w:rsid w:val="4D32215D"/>
    <w:rsid w:val="4D322578"/>
    <w:rsid w:val="4D351E91"/>
    <w:rsid w:val="4D3B4592"/>
    <w:rsid w:val="4D55309F"/>
    <w:rsid w:val="4DBE1303"/>
    <w:rsid w:val="4DC518A0"/>
    <w:rsid w:val="4DCF66BB"/>
    <w:rsid w:val="4DD21766"/>
    <w:rsid w:val="4DD47346"/>
    <w:rsid w:val="4DDC54F1"/>
    <w:rsid w:val="4DE42E97"/>
    <w:rsid w:val="4DE6535D"/>
    <w:rsid w:val="4DEC4FB0"/>
    <w:rsid w:val="4DFF5713"/>
    <w:rsid w:val="4E075D8A"/>
    <w:rsid w:val="4E0F1C02"/>
    <w:rsid w:val="4E5127BE"/>
    <w:rsid w:val="4E58167D"/>
    <w:rsid w:val="4E637177"/>
    <w:rsid w:val="4E716294"/>
    <w:rsid w:val="4EB177DA"/>
    <w:rsid w:val="4EBD3942"/>
    <w:rsid w:val="4EC00FAD"/>
    <w:rsid w:val="4ECD2037"/>
    <w:rsid w:val="4EE534E1"/>
    <w:rsid w:val="4EE93E58"/>
    <w:rsid w:val="4F1F14B5"/>
    <w:rsid w:val="4F3F5094"/>
    <w:rsid w:val="4F7E4579"/>
    <w:rsid w:val="4F9843DC"/>
    <w:rsid w:val="4FC62A8C"/>
    <w:rsid w:val="4FDC3BFE"/>
    <w:rsid w:val="4FDE49FA"/>
    <w:rsid w:val="4FE14720"/>
    <w:rsid w:val="4FE20F0D"/>
    <w:rsid w:val="4FE51552"/>
    <w:rsid w:val="4FE62232"/>
    <w:rsid w:val="50261711"/>
    <w:rsid w:val="502F427C"/>
    <w:rsid w:val="5037381D"/>
    <w:rsid w:val="503E76C8"/>
    <w:rsid w:val="50504C4B"/>
    <w:rsid w:val="50643CD1"/>
    <w:rsid w:val="506B23D5"/>
    <w:rsid w:val="506B37E8"/>
    <w:rsid w:val="506E786A"/>
    <w:rsid w:val="50740067"/>
    <w:rsid w:val="50810FD0"/>
    <w:rsid w:val="509C6E7C"/>
    <w:rsid w:val="50A24CB0"/>
    <w:rsid w:val="50A8054F"/>
    <w:rsid w:val="50CA3F4D"/>
    <w:rsid w:val="50CD59B1"/>
    <w:rsid w:val="50D00AFC"/>
    <w:rsid w:val="50E5634B"/>
    <w:rsid w:val="50EB2B2D"/>
    <w:rsid w:val="51134CA1"/>
    <w:rsid w:val="513F2DC1"/>
    <w:rsid w:val="515623E4"/>
    <w:rsid w:val="515F577A"/>
    <w:rsid w:val="5162104E"/>
    <w:rsid w:val="51884B6F"/>
    <w:rsid w:val="518C1C1F"/>
    <w:rsid w:val="51A34718"/>
    <w:rsid w:val="51B0699A"/>
    <w:rsid w:val="51D112A5"/>
    <w:rsid w:val="51D21635"/>
    <w:rsid w:val="51E3701F"/>
    <w:rsid w:val="51F87141"/>
    <w:rsid w:val="521340EE"/>
    <w:rsid w:val="52482B10"/>
    <w:rsid w:val="527E5A0B"/>
    <w:rsid w:val="528D65AB"/>
    <w:rsid w:val="52980378"/>
    <w:rsid w:val="52984B2F"/>
    <w:rsid w:val="52A64626"/>
    <w:rsid w:val="52A84263"/>
    <w:rsid w:val="52BC2146"/>
    <w:rsid w:val="531C79DF"/>
    <w:rsid w:val="533671B5"/>
    <w:rsid w:val="53512302"/>
    <w:rsid w:val="5359743E"/>
    <w:rsid w:val="5375421A"/>
    <w:rsid w:val="539B7116"/>
    <w:rsid w:val="53A039CC"/>
    <w:rsid w:val="53A1505A"/>
    <w:rsid w:val="53B84A84"/>
    <w:rsid w:val="53CD7DA1"/>
    <w:rsid w:val="53E00508"/>
    <w:rsid w:val="54020436"/>
    <w:rsid w:val="54063E08"/>
    <w:rsid w:val="54134B0B"/>
    <w:rsid w:val="54166139"/>
    <w:rsid w:val="54296E31"/>
    <w:rsid w:val="543437E8"/>
    <w:rsid w:val="544919AF"/>
    <w:rsid w:val="54680C67"/>
    <w:rsid w:val="549C06F0"/>
    <w:rsid w:val="549F24CA"/>
    <w:rsid w:val="54CF6853"/>
    <w:rsid w:val="54E83610"/>
    <w:rsid w:val="54F73313"/>
    <w:rsid w:val="54F80955"/>
    <w:rsid w:val="5518634D"/>
    <w:rsid w:val="551A008E"/>
    <w:rsid w:val="553039FE"/>
    <w:rsid w:val="55386799"/>
    <w:rsid w:val="554641B6"/>
    <w:rsid w:val="555170A7"/>
    <w:rsid w:val="555727AF"/>
    <w:rsid w:val="555F25F9"/>
    <w:rsid w:val="55630E42"/>
    <w:rsid w:val="5587536D"/>
    <w:rsid w:val="559B174B"/>
    <w:rsid w:val="55BA64B5"/>
    <w:rsid w:val="55BF7885"/>
    <w:rsid w:val="55CE0CF4"/>
    <w:rsid w:val="55EE1803"/>
    <w:rsid w:val="55FA17A0"/>
    <w:rsid w:val="55FB0CF7"/>
    <w:rsid w:val="56014196"/>
    <w:rsid w:val="56034157"/>
    <w:rsid w:val="563163EC"/>
    <w:rsid w:val="56501BA9"/>
    <w:rsid w:val="56644D8D"/>
    <w:rsid w:val="566571C2"/>
    <w:rsid w:val="566969D2"/>
    <w:rsid w:val="566A4BAE"/>
    <w:rsid w:val="56A564D7"/>
    <w:rsid w:val="56AE579C"/>
    <w:rsid w:val="56B22A9C"/>
    <w:rsid w:val="56D0168F"/>
    <w:rsid w:val="56D75978"/>
    <w:rsid w:val="56EF2C8F"/>
    <w:rsid w:val="56FF6F71"/>
    <w:rsid w:val="57095D84"/>
    <w:rsid w:val="57126302"/>
    <w:rsid w:val="571934E4"/>
    <w:rsid w:val="57352F0B"/>
    <w:rsid w:val="573A7474"/>
    <w:rsid w:val="574B1934"/>
    <w:rsid w:val="57531588"/>
    <w:rsid w:val="57735FDA"/>
    <w:rsid w:val="57900791"/>
    <w:rsid w:val="579B3AEF"/>
    <w:rsid w:val="57B72A76"/>
    <w:rsid w:val="57BF1877"/>
    <w:rsid w:val="57C3426C"/>
    <w:rsid w:val="57CE1F93"/>
    <w:rsid w:val="58207565"/>
    <w:rsid w:val="58217004"/>
    <w:rsid w:val="583C690B"/>
    <w:rsid w:val="58424A05"/>
    <w:rsid w:val="585A201B"/>
    <w:rsid w:val="586236D9"/>
    <w:rsid w:val="58713B4A"/>
    <w:rsid w:val="588743D1"/>
    <w:rsid w:val="5887701A"/>
    <w:rsid w:val="58AE5F4C"/>
    <w:rsid w:val="58B61605"/>
    <w:rsid w:val="58F40717"/>
    <w:rsid w:val="58F71CEE"/>
    <w:rsid w:val="592324B3"/>
    <w:rsid w:val="59275420"/>
    <w:rsid w:val="592B5619"/>
    <w:rsid w:val="59483060"/>
    <w:rsid w:val="594E7693"/>
    <w:rsid w:val="59563FC3"/>
    <w:rsid w:val="596040BD"/>
    <w:rsid w:val="5975175F"/>
    <w:rsid w:val="599E11CB"/>
    <w:rsid w:val="59A275AD"/>
    <w:rsid w:val="59A93A45"/>
    <w:rsid w:val="59C0439F"/>
    <w:rsid w:val="59E80852"/>
    <w:rsid w:val="5A1D69CB"/>
    <w:rsid w:val="5A98636A"/>
    <w:rsid w:val="5AB06740"/>
    <w:rsid w:val="5AB23468"/>
    <w:rsid w:val="5ABE2233"/>
    <w:rsid w:val="5AC71FAA"/>
    <w:rsid w:val="5B08252A"/>
    <w:rsid w:val="5B3D364C"/>
    <w:rsid w:val="5B4D12BE"/>
    <w:rsid w:val="5B700ED6"/>
    <w:rsid w:val="5B7C7AD8"/>
    <w:rsid w:val="5B8F37CB"/>
    <w:rsid w:val="5B927C3D"/>
    <w:rsid w:val="5B960B4C"/>
    <w:rsid w:val="5BDF5D95"/>
    <w:rsid w:val="5BFE0BF0"/>
    <w:rsid w:val="5BFE7528"/>
    <w:rsid w:val="5C064258"/>
    <w:rsid w:val="5C1312BF"/>
    <w:rsid w:val="5C183A97"/>
    <w:rsid w:val="5C1A68D7"/>
    <w:rsid w:val="5C1E3B32"/>
    <w:rsid w:val="5C2B460A"/>
    <w:rsid w:val="5C597CCB"/>
    <w:rsid w:val="5C630DCA"/>
    <w:rsid w:val="5C65732B"/>
    <w:rsid w:val="5C7379E6"/>
    <w:rsid w:val="5C8C4AA6"/>
    <w:rsid w:val="5C8E6F30"/>
    <w:rsid w:val="5C9339EB"/>
    <w:rsid w:val="5CA701F8"/>
    <w:rsid w:val="5CB65365"/>
    <w:rsid w:val="5CDC4F02"/>
    <w:rsid w:val="5CE5444B"/>
    <w:rsid w:val="5D094756"/>
    <w:rsid w:val="5D0C48E4"/>
    <w:rsid w:val="5D3E38BA"/>
    <w:rsid w:val="5D665655"/>
    <w:rsid w:val="5D7662D9"/>
    <w:rsid w:val="5D924A61"/>
    <w:rsid w:val="5D9553B3"/>
    <w:rsid w:val="5DA76494"/>
    <w:rsid w:val="5DD05410"/>
    <w:rsid w:val="5DD44EF7"/>
    <w:rsid w:val="5DD47C35"/>
    <w:rsid w:val="5DDD16CE"/>
    <w:rsid w:val="5DDF5D2F"/>
    <w:rsid w:val="5E234F3D"/>
    <w:rsid w:val="5E2467F1"/>
    <w:rsid w:val="5E51032C"/>
    <w:rsid w:val="5E5F3E19"/>
    <w:rsid w:val="5E7549A9"/>
    <w:rsid w:val="5E88458C"/>
    <w:rsid w:val="5E8F150F"/>
    <w:rsid w:val="5E9A28E8"/>
    <w:rsid w:val="5EA8205D"/>
    <w:rsid w:val="5EB647B7"/>
    <w:rsid w:val="5ECA06DC"/>
    <w:rsid w:val="5EE51C41"/>
    <w:rsid w:val="5F042F9B"/>
    <w:rsid w:val="5F1A2B43"/>
    <w:rsid w:val="5F273024"/>
    <w:rsid w:val="5F340869"/>
    <w:rsid w:val="5F5440FF"/>
    <w:rsid w:val="5F5C13CD"/>
    <w:rsid w:val="5F5E3240"/>
    <w:rsid w:val="5F5F7999"/>
    <w:rsid w:val="5F6146B0"/>
    <w:rsid w:val="5F806138"/>
    <w:rsid w:val="5F9B4B6A"/>
    <w:rsid w:val="5FA2632F"/>
    <w:rsid w:val="5FB837BB"/>
    <w:rsid w:val="5FB83D33"/>
    <w:rsid w:val="5FD07CD7"/>
    <w:rsid w:val="5FDE6566"/>
    <w:rsid w:val="5FE81EDB"/>
    <w:rsid w:val="5FF505C9"/>
    <w:rsid w:val="5FF50700"/>
    <w:rsid w:val="5FFB2C46"/>
    <w:rsid w:val="60166DC1"/>
    <w:rsid w:val="60261989"/>
    <w:rsid w:val="60660025"/>
    <w:rsid w:val="609A742C"/>
    <w:rsid w:val="609E54CA"/>
    <w:rsid w:val="60A830CC"/>
    <w:rsid w:val="60AA3E6F"/>
    <w:rsid w:val="60B63F45"/>
    <w:rsid w:val="60BE2C8E"/>
    <w:rsid w:val="60C5514D"/>
    <w:rsid w:val="60CC405A"/>
    <w:rsid w:val="60D877C1"/>
    <w:rsid w:val="60E76E71"/>
    <w:rsid w:val="60EE553E"/>
    <w:rsid w:val="60F30CF2"/>
    <w:rsid w:val="60F75F07"/>
    <w:rsid w:val="61013484"/>
    <w:rsid w:val="611D44B4"/>
    <w:rsid w:val="612B6D02"/>
    <w:rsid w:val="614C108E"/>
    <w:rsid w:val="615D24EF"/>
    <w:rsid w:val="61637BA0"/>
    <w:rsid w:val="61A13DD5"/>
    <w:rsid w:val="61A647FE"/>
    <w:rsid w:val="61CB3941"/>
    <w:rsid w:val="61E215D8"/>
    <w:rsid w:val="61E34DCF"/>
    <w:rsid w:val="61FC61C4"/>
    <w:rsid w:val="62110607"/>
    <w:rsid w:val="621B3775"/>
    <w:rsid w:val="62364782"/>
    <w:rsid w:val="625813A9"/>
    <w:rsid w:val="6258311A"/>
    <w:rsid w:val="625A23C7"/>
    <w:rsid w:val="62674111"/>
    <w:rsid w:val="62702DC9"/>
    <w:rsid w:val="628B4EC0"/>
    <w:rsid w:val="629759D9"/>
    <w:rsid w:val="629B7F14"/>
    <w:rsid w:val="62B40FD5"/>
    <w:rsid w:val="62D36FB0"/>
    <w:rsid w:val="62DD7FE5"/>
    <w:rsid w:val="62F069A4"/>
    <w:rsid w:val="630C1DD9"/>
    <w:rsid w:val="63230120"/>
    <w:rsid w:val="633D6451"/>
    <w:rsid w:val="6349450F"/>
    <w:rsid w:val="634A37EB"/>
    <w:rsid w:val="63506F50"/>
    <w:rsid w:val="63510676"/>
    <w:rsid w:val="637F0820"/>
    <w:rsid w:val="638C1A39"/>
    <w:rsid w:val="638C6277"/>
    <w:rsid w:val="6394356A"/>
    <w:rsid w:val="63B03E93"/>
    <w:rsid w:val="63B531DB"/>
    <w:rsid w:val="63B97180"/>
    <w:rsid w:val="63C61B2C"/>
    <w:rsid w:val="63C72FF8"/>
    <w:rsid w:val="63C7790F"/>
    <w:rsid w:val="63D40BE9"/>
    <w:rsid w:val="63D85203"/>
    <w:rsid w:val="63F07F69"/>
    <w:rsid w:val="6401603D"/>
    <w:rsid w:val="64102431"/>
    <w:rsid w:val="641E500C"/>
    <w:rsid w:val="643A50F7"/>
    <w:rsid w:val="64444922"/>
    <w:rsid w:val="64644068"/>
    <w:rsid w:val="646808FA"/>
    <w:rsid w:val="64807FFF"/>
    <w:rsid w:val="648C045C"/>
    <w:rsid w:val="64A5243A"/>
    <w:rsid w:val="64A54F82"/>
    <w:rsid w:val="64DB11D1"/>
    <w:rsid w:val="64DE6C36"/>
    <w:rsid w:val="64F31A61"/>
    <w:rsid w:val="64F531DE"/>
    <w:rsid w:val="64F94262"/>
    <w:rsid w:val="64FD5052"/>
    <w:rsid w:val="650A3C5F"/>
    <w:rsid w:val="650D463E"/>
    <w:rsid w:val="65215E38"/>
    <w:rsid w:val="65373578"/>
    <w:rsid w:val="653B5411"/>
    <w:rsid w:val="653C6A80"/>
    <w:rsid w:val="653D332F"/>
    <w:rsid w:val="656B5790"/>
    <w:rsid w:val="65890178"/>
    <w:rsid w:val="658A4286"/>
    <w:rsid w:val="65AF7D19"/>
    <w:rsid w:val="65BF0169"/>
    <w:rsid w:val="65C14314"/>
    <w:rsid w:val="65C637F2"/>
    <w:rsid w:val="65C96923"/>
    <w:rsid w:val="65DE5B11"/>
    <w:rsid w:val="6662075A"/>
    <w:rsid w:val="6662338D"/>
    <w:rsid w:val="66674105"/>
    <w:rsid w:val="667F4062"/>
    <w:rsid w:val="66A516B1"/>
    <w:rsid w:val="66A668B9"/>
    <w:rsid w:val="66AF61C3"/>
    <w:rsid w:val="66B273B9"/>
    <w:rsid w:val="66C0263F"/>
    <w:rsid w:val="66D025EA"/>
    <w:rsid w:val="670177DA"/>
    <w:rsid w:val="67173B7B"/>
    <w:rsid w:val="671F124A"/>
    <w:rsid w:val="67537DD9"/>
    <w:rsid w:val="675745AB"/>
    <w:rsid w:val="676B3433"/>
    <w:rsid w:val="67761F6C"/>
    <w:rsid w:val="677A33C6"/>
    <w:rsid w:val="6783248F"/>
    <w:rsid w:val="67B916E0"/>
    <w:rsid w:val="67F44C6E"/>
    <w:rsid w:val="68146BED"/>
    <w:rsid w:val="681F6961"/>
    <w:rsid w:val="68340349"/>
    <w:rsid w:val="68610A2F"/>
    <w:rsid w:val="687436E1"/>
    <w:rsid w:val="687F084C"/>
    <w:rsid w:val="68805514"/>
    <w:rsid w:val="68884633"/>
    <w:rsid w:val="688F6387"/>
    <w:rsid w:val="68B47D7B"/>
    <w:rsid w:val="68BA35C5"/>
    <w:rsid w:val="68D67996"/>
    <w:rsid w:val="68F8152C"/>
    <w:rsid w:val="69125C68"/>
    <w:rsid w:val="69294D32"/>
    <w:rsid w:val="69316E2F"/>
    <w:rsid w:val="694A6F0D"/>
    <w:rsid w:val="694E2071"/>
    <w:rsid w:val="69766163"/>
    <w:rsid w:val="697A3B33"/>
    <w:rsid w:val="697E08AB"/>
    <w:rsid w:val="698F4227"/>
    <w:rsid w:val="69AB012A"/>
    <w:rsid w:val="69C21572"/>
    <w:rsid w:val="69D04579"/>
    <w:rsid w:val="69D34E0A"/>
    <w:rsid w:val="69D44760"/>
    <w:rsid w:val="69EA4C4A"/>
    <w:rsid w:val="69EC72A7"/>
    <w:rsid w:val="6A237B94"/>
    <w:rsid w:val="6A2E7A03"/>
    <w:rsid w:val="6A3B0EA6"/>
    <w:rsid w:val="6A520EC7"/>
    <w:rsid w:val="6A5B572F"/>
    <w:rsid w:val="6A7269EF"/>
    <w:rsid w:val="6A73096B"/>
    <w:rsid w:val="6A8552FC"/>
    <w:rsid w:val="6A9531F0"/>
    <w:rsid w:val="6A9E130D"/>
    <w:rsid w:val="6AA77241"/>
    <w:rsid w:val="6AB37DC4"/>
    <w:rsid w:val="6AC27BFE"/>
    <w:rsid w:val="6AD0105A"/>
    <w:rsid w:val="6AD97A6E"/>
    <w:rsid w:val="6AF74196"/>
    <w:rsid w:val="6AF87E20"/>
    <w:rsid w:val="6B035F62"/>
    <w:rsid w:val="6B0B19AE"/>
    <w:rsid w:val="6B136DE1"/>
    <w:rsid w:val="6B170353"/>
    <w:rsid w:val="6B227CC4"/>
    <w:rsid w:val="6B2B357A"/>
    <w:rsid w:val="6B322639"/>
    <w:rsid w:val="6B382E19"/>
    <w:rsid w:val="6B406702"/>
    <w:rsid w:val="6B5E41D4"/>
    <w:rsid w:val="6B697BE9"/>
    <w:rsid w:val="6B7A2BF3"/>
    <w:rsid w:val="6BAE6F0A"/>
    <w:rsid w:val="6BBB556A"/>
    <w:rsid w:val="6BF46A78"/>
    <w:rsid w:val="6C1226C9"/>
    <w:rsid w:val="6C6250DC"/>
    <w:rsid w:val="6C636C38"/>
    <w:rsid w:val="6C76306C"/>
    <w:rsid w:val="6C8A6CE5"/>
    <w:rsid w:val="6C9154FB"/>
    <w:rsid w:val="6CA9147F"/>
    <w:rsid w:val="6CA97785"/>
    <w:rsid w:val="6CAE57C5"/>
    <w:rsid w:val="6CCA5D95"/>
    <w:rsid w:val="6CDC482D"/>
    <w:rsid w:val="6CE632C1"/>
    <w:rsid w:val="6D022EA9"/>
    <w:rsid w:val="6D090170"/>
    <w:rsid w:val="6D17143F"/>
    <w:rsid w:val="6D192070"/>
    <w:rsid w:val="6D266B4E"/>
    <w:rsid w:val="6D332585"/>
    <w:rsid w:val="6D3B415D"/>
    <w:rsid w:val="6D3C6E8F"/>
    <w:rsid w:val="6D734271"/>
    <w:rsid w:val="6D7370F3"/>
    <w:rsid w:val="6D91021F"/>
    <w:rsid w:val="6D9A0524"/>
    <w:rsid w:val="6DA505D2"/>
    <w:rsid w:val="6DB34098"/>
    <w:rsid w:val="6DB545B6"/>
    <w:rsid w:val="6DB86FC0"/>
    <w:rsid w:val="6DCE3918"/>
    <w:rsid w:val="6DD32A6E"/>
    <w:rsid w:val="6DD464A7"/>
    <w:rsid w:val="6DE02FB4"/>
    <w:rsid w:val="6DEB56F7"/>
    <w:rsid w:val="6DFE0B9E"/>
    <w:rsid w:val="6E1374F8"/>
    <w:rsid w:val="6E1505AF"/>
    <w:rsid w:val="6E192634"/>
    <w:rsid w:val="6E240D52"/>
    <w:rsid w:val="6E31562C"/>
    <w:rsid w:val="6E3A2CD6"/>
    <w:rsid w:val="6E5006B0"/>
    <w:rsid w:val="6E514CED"/>
    <w:rsid w:val="6E61127F"/>
    <w:rsid w:val="6E724518"/>
    <w:rsid w:val="6E8A3D6F"/>
    <w:rsid w:val="6E9F0D8B"/>
    <w:rsid w:val="6E9F6A12"/>
    <w:rsid w:val="6EB04AA7"/>
    <w:rsid w:val="6EB563D5"/>
    <w:rsid w:val="6EB77FB0"/>
    <w:rsid w:val="6EC64DA9"/>
    <w:rsid w:val="6ECC76A7"/>
    <w:rsid w:val="6ED92677"/>
    <w:rsid w:val="6F03756C"/>
    <w:rsid w:val="6F165AF1"/>
    <w:rsid w:val="6F225983"/>
    <w:rsid w:val="6F396849"/>
    <w:rsid w:val="6F3E5728"/>
    <w:rsid w:val="6F4B4A6F"/>
    <w:rsid w:val="6F595014"/>
    <w:rsid w:val="6F612A50"/>
    <w:rsid w:val="6F751564"/>
    <w:rsid w:val="6F754802"/>
    <w:rsid w:val="6F8E3E86"/>
    <w:rsid w:val="6F9328F9"/>
    <w:rsid w:val="6FD15F04"/>
    <w:rsid w:val="6FFC5590"/>
    <w:rsid w:val="70000CAF"/>
    <w:rsid w:val="70032E9D"/>
    <w:rsid w:val="70115CB9"/>
    <w:rsid w:val="70590C63"/>
    <w:rsid w:val="706B2F09"/>
    <w:rsid w:val="706D1DD0"/>
    <w:rsid w:val="70856B87"/>
    <w:rsid w:val="7086162A"/>
    <w:rsid w:val="709E441E"/>
    <w:rsid w:val="70D527EE"/>
    <w:rsid w:val="70F230C7"/>
    <w:rsid w:val="711315BD"/>
    <w:rsid w:val="7123004B"/>
    <w:rsid w:val="71323E97"/>
    <w:rsid w:val="715B5300"/>
    <w:rsid w:val="715C7011"/>
    <w:rsid w:val="716301CD"/>
    <w:rsid w:val="7164006A"/>
    <w:rsid w:val="716F6CDE"/>
    <w:rsid w:val="718A7AD1"/>
    <w:rsid w:val="71947ED4"/>
    <w:rsid w:val="719A3A8C"/>
    <w:rsid w:val="71A4627C"/>
    <w:rsid w:val="71AA2A55"/>
    <w:rsid w:val="71AB6258"/>
    <w:rsid w:val="71B11EFB"/>
    <w:rsid w:val="71CC73F0"/>
    <w:rsid w:val="71D27F8A"/>
    <w:rsid w:val="71F92D58"/>
    <w:rsid w:val="721635AC"/>
    <w:rsid w:val="721D5926"/>
    <w:rsid w:val="7232405B"/>
    <w:rsid w:val="72370313"/>
    <w:rsid w:val="723E1F9F"/>
    <w:rsid w:val="724C5BF5"/>
    <w:rsid w:val="72553024"/>
    <w:rsid w:val="7279223A"/>
    <w:rsid w:val="727B1B10"/>
    <w:rsid w:val="72850298"/>
    <w:rsid w:val="72996073"/>
    <w:rsid w:val="72C312B2"/>
    <w:rsid w:val="72C75D07"/>
    <w:rsid w:val="72C76A42"/>
    <w:rsid w:val="72CC75E3"/>
    <w:rsid w:val="72EF5045"/>
    <w:rsid w:val="72F300BB"/>
    <w:rsid w:val="72F43305"/>
    <w:rsid w:val="72F572B1"/>
    <w:rsid w:val="72FD1ECA"/>
    <w:rsid w:val="73122968"/>
    <w:rsid w:val="731D1633"/>
    <w:rsid w:val="731F5D5E"/>
    <w:rsid w:val="732D6613"/>
    <w:rsid w:val="732F778E"/>
    <w:rsid w:val="734C47FB"/>
    <w:rsid w:val="734E7AF9"/>
    <w:rsid w:val="736601D0"/>
    <w:rsid w:val="73791D0B"/>
    <w:rsid w:val="737B770C"/>
    <w:rsid w:val="738A025C"/>
    <w:rsid w:val="73A37BFC"/>
    <w:rsid w:val="73A85075"/>
    <w:rsid w:val="73B335E1"/>
    <w:rsid w:val="73BE41E4"/>
    <w:rsid w:val="73C51AD5"/>
    <w:rsid w:val="73E65EF2"/>
    <w:rsid w:val="73F2195D"/>
    <w:rsid w:val="73F634A5"/>
    <w:rsid w:val="740D57D7"/>
    <w:rsid w:val="741C69DA"/>
    <w:rsid w:val="741E793C"/>
    <w:rsid w:val="74385FA8"/>
    <w:rsid w:val="74386145"/>
    <w:rsid w:val="74463A57"/>
    <w:rsid w:val="744932BA"/>
    <w:rsid w:val="744F2775"/>
    <w:rsid w:val="7456013E"/>
    <w:rsid w:val="745D6E73"/>
    <w:rsid w:val="745E3944"/>
    <w:rsid w:val="74650381"/>
    <w:rsid w:val="746852DF"/>
    <w:rsid w:val="74B17A6A"/>
    <w:rsid w:val="74D65A87"/>
    <w:rsid w:val="74D826E8"/>
    <w:rsid w:val="74E90FB2"/>
    <w:rsid w:val="75156A8A"/>
    <w:rsid w:val="751E1179"/>
    <w:rsid w:val="75204D1F"/>
    <w:rsid w:val="752C5415"/>
    <w:rsid w:val="75342AAC"/>
    <w:rsid w:val="75363ACC"/>
    <w:rsid w:val="75572DDA"/>
    <w:rsid w:val="756440CD"/>
    <w:rsid w:val="75887AD6"/>
    <w:rsid w:val="758948C9"/>
    <w:rsid w:val="75A164B5"/>
    <w:rsid w:val="75B8629E"/>
    <w:rsid w:val="75B95223"/>
    <w:rsid w:val="75D20050"/>
    <w:rsid w:val="75E03ADD"/>
    <w:rsid w:val="760E1E5B"/>
    <w:rsid w:val="761571B5"/>
    <w:rsid w:val="762E09F1"/>
    <w:rsid w:val="7635099D"/>
    <w:rsid w:val="763A0DD5"/>
    <w:rsid w:val="764B7BA3"/>
    <w:rsid w:val="76553D73"/>
    <w:rsid w:val="768D44C7"/>
    <w:rsid w:val="76AE03F9"/>
    <w:rsid w:val="76C94A6B"/>
    <w:rsid w:val="76D61859"/>
    <w:rsid w:val="76E42D27"/>
    <w:rsid w:val="7725562D"/>
    <w:rsid w:val="773B7298"/>
    <w:rsid w:val="773E5B53"/>
    <w:rsid w:val="775B1306"/>
    <w:rsid w:val="77664815"/>
    <w:rsid w:val="776A7EB7"/>
    <w:rsid w:val="77762421"/>
    <w:rsid w:val="777D2475"/>
    <w:rsid w:val="777D6FE5"/>
    <w:rsid w:val="778F314C"/>
    <w:rsid w:val="77904035"/>
    <w:rsid w:val="77B56B1F"/>
    <w:rsid w:val="77C720FB"/>
    <w:rsid w:val="77D31990"/>
    <w:rsid w:val="77E82BAB"/>
    <w:rsid w:val="78023DEF"/>
    <w:rsid w:val="780F09F4"/>
    <w:rsid w:val="782F66DB"/>
    <w:rsid w:val="78624850"/>
    <w:rsid w:val="78821A71"/>
    <w:rsid w:val="78911745"/>
    <w:rsid w:val="78956CF4"/>
    <w:rsid w:val="78A90480"/>
    <w:rsid w:val="78A93E08"/>
    <w:rsid w:val="78AC2A23"/>
    <w:rsid w:val="78AD166B"/>
    <w:rsid w:val="78B862A7"/>
    <w:rsid w:val="78C47BDD"/>
    <w:rsid w:val="78D4414B"/>
    <w:rsid w:val="78D93B06"/>
    <w:rsid w:val="78DA0A80"/>
    <w:rsid w:val="78DE2752"/>
    <w:rsid w:val="791800B8"/>
    <w:rsid w:val="791A2080"/>
    <w:rsid w:val="791A7616"/>
    <w:rsid w:val="795704CC"/>
    <w:rsid w:val="795A5CA8"/>
    <w:rsid w:val="79683EC5"/>
    <w:rsid w:val="797D683A"/>
    <w:rsid w:val="79A6456A"/>
    <w:rsid w:val="79C67B14"/>
    <w:rsid w:val="79CC596A"/>
    <w:rsid w:val="79CD46B0"/>
    <w:rsid w:val="79D5129F"/>
    <w:rsid w:val="79D824DE"/>
    <w:rsid w:val="79DE5FC4"/>
    <w:rsid w:val="79E612ED"/>
    <w:rsid w:val="7A0C139B"/>
    <w:rsid w:val="7A1E312B"/>
    <w:rsid w:val="7A234CDB"/>
    <w:rsid w:val="7A2B3E1B"/>
    <w:rsid w:val="7A364017"/>
    <w:rsid w:val="7A3C61AE"/>
    <w:rsid w:val="7A405DFA"/>
    <w:rsid w:val="7A4B6DFB"/>
    <w:rsid w:val="7A5D782D"/>
    <w:rsid w:val="7A5E602E"/>
    <w:rsid w:val="7A61289C"/>
    <w:rsid w:val="7A6C4812"/>
    <w:rsid w:val="7A7C0747"/>
    <w:rsid w:val="7A7C5858"/>
    <w:rsid w:val="7A8265E1"/>
    <w:rsid w:val="7AAA7254"/>
    <w:rsid w:val="7AAC1FB7"/>
    <w:rsid w:val="7AAF79CA"/>
    <w:rsid w:val="7AB035B0"/>
    <w:rsid w:val="7ADB139D"/>
    <w:rsid w:val="7AE062AE"/>
    <w:rsid w:val="7AE069B4"/>
    <w:rsid w:val="7B0C37AF"/>
    <w:rsid w:val="7B152B01"/>
    <w:rsid w:val="7B2C027D"/>
    <w:rsid w:val="7B2D5BA6"/>
    <w:rsid w:val="7B4951A0"/>
    <w:rsid w:val="7B5902D0"/>
    <w:rsid w:val="7B686D42"/>
    <w:rsid w:val="7B7C6688"/>
    <w:rsid w:val="7B7F7DC8"/>
    <w:rsid w:val="7B841746"/>
    <w:rsid w:val="7B8D4537"/>
    <w:rsid w:val="7BA027A8"/>
    <w:rsid w:val="7BA819D1"/>
    <w:rsid w:val="7BA942FB"/>
    <w:rsid w:val="7BD179D7"/>
    <w:rsid w:val="7BF816A2"/>
    <w:rsid w:val="7C201388"/>
    <w:rsid w:val="7C3375DF"/>
    <w:rsid w:val="7C3B3BEF"/>
    <w:rsid w:val="7C4B3403"/>
    <w:rsid w:val="7C4D5C50"/>
    <w:rsid w:val="7C5238E1"/>
    <w:rsid w:val="7C54226F"/>
    <w:rsid w:val="7C687447"/>
    <w:rsid w:val="7C6C5AC7"/>
    <w:rsid w:val="7C6C6BD0"/>
    <w:rsid w:val="7C834935"/>
    <w:rsid w:val="7C8C32E2"/>
    <w:rsid w:val="7CA21BAE"/>
    <w:rsid w:val="7CA74259"/>
    <w:rsid w:val="7CB60126"/>
    <w:rsid w:val="7CC130B6"/>
    <w:rsid w:val="7CC6544B"/>
    <w:rsid w:val="7CE25669"/>
    <w:rsid w:val="7D0239FF"/>
    <w:rsid w:val="7D04511F"/>
    <w:rsid w:val="7D200A46"/>
    <w:rsid w:val="7D276278"/>
    <w:rsid w:val="7D340F2F"/>
    <w:rsid w:val="7D3921FA"/>
    <w:rsid w:val="7D3E4D8A"/>
    <w:rsid w:val="7D494C9B"/>
    <w:rsid w:val="7D5E40CD"/>
    <w:rsid w:val="7D664CA6"/>
    <w:rsid w:val="7D6740E2"/>
    <w:rsid w:val="7D6F401F"/>
    <w:rsid w:val="7D847875"/>
    <w:rsid w:val="7D8B4D76"/>
    <w:rsid w:val="7D996203"/>
    <w:rsid w:val="7DB91F33"/>
    <w:rsid w:val="7DC420D7"/>
    <w:rsid w:val="7DCD56F2"/>
    <w:rsid w:val="7DD06562"/>
    <w:rsid w:val="7DD75F6E"/>
    <w:rsid w:val="7DDA0C52"/>
    <w:rsid w:val="7DED5200"/>
    <w:rsid w:val="7E151D38"/>
    <w:rsid w:val="7E2962D4"/>
    <w:rsid w:val="7E2F46E9"/>
    <w:rsid w:val="7E3B2E36"/>
    <w:rsid w:val="7E6C00DE"/>
    <w:rsid w:val="7E7138EF"/>
    <w:rsid w:val="7E845716"/>
    <w:rsid w:val="7E8C0017"/>
    <w:rsid w:val="7ED15BCD"/>
    <w:rsid w:val="7ED4682F"/>
    <w:rsid w:val="7EE16867"/>
    <w:rsid w:val="7EF43223"/>
    <w:rsid w:val="7F001CE7"/>
    <w:rsid w:val="7F0C34AD"/>
    <w:rsid w:val="7F241FC4"/>
    <w:rsid w:val="7F680888"/>
    <w:rsid w:val="7FA920B9"/>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iPriority="99"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3"/>
    <w:basedOn w:val="1"/>
    <w:next w:val="1"/>
    <w:qFormat/>
    <w:locked/>
    <w:uiPriority w:val="0"/>
    <w:pPr>
      <w:keepNext/>
      <w:outlineLvl w:val="2"/>
    </w:pPr>
    <w:rPr>
      <w:sz w:val="44"/>
      <w:shd w:val="pct10" w:color="auto" w:fill="FFFFFF"/>
    </w:rPr>
  </w:style>
  <w:style w:type="paragraph" w:styleId="6">
    <w:name w:val="heading 4"/>
    <w:basedOn w:val="1"/>
    <w:next w:val="1"/>
    <w:qFormat/>
    <w:locked/>
    <w:uiPriority w:val="0"/>
    <w:pPr>
      <w:keepNext/>
      <w:keepLines/>
      <w:spacing w:line="360" w:lineRule="auto"/>
      <w:outlineLvl w:val="3"/>
    </w:pPr>
    <w:rPr>
      <w:rFonts w:ascii="Arial" w:hAnsi="Arial"/>
      <w:b/>
      <w:bCs/>
      <w:sz w:val="24"/>
      <w:szCs w:val="28"/>
    </w:rPr>
  </w:style>
  <w:style w:type="paragraph" w:styleId="7">
    <w:name w:val="heading 5"/>
    <w:basedOn w:val="1"/>
    <w:next w:val="1"/>
    <w:qFormat/>
    <w:locked/>
    <w:uiPriority w:val="0"/>
    <w:pPr>
      <w:keepNext/>
      <w:keepLines/>
      <w:widowControl w:val="0"/>
      <w:autoSpaceDE w:val="0"/>
      <w:autoSpaceDN w:val="0"/>
      <w:adjustRightInd w:val="0"/>
      <w:spacing w:before="280" w:after="290" w:line="376" w:lineRule="auto"/>
      <w:ind w:firstLine="0" w:firstLineChars="0"/>
      <w:outlineLvl w:val="4"/>
    </w:pPr>
    <w:rPr>
      <w:rFonts w:hint="eastAsia"/>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0正文"/>
    <w:basedOn w:val="3"/>
    <w:semiHidden/>
    <w:qFormat/>
    <w:uiPriority w:val="0"/>
    <w:pPr>
      <w:spacing w:line="360" w:lineRule="auto"/>
      <w:ind w:firstLine="720" w:firstLineChars="200"/>
    </w:pPr>
    <w:rPr>
      <w:sz w:val="24"/>
      <w:szCs w:val="24"/>
    </w:rPr>
  </w:style>
  <w:style w:type="paragraph" w:styleId="3">
    <w:name w:val="Body Text Indent"/>
    <w:basedOn w:val="1"/>
    <w:link w:val="32"/>
    <w:qFormat/>
    <w:uiPriority w:val="0"/>
    <w:pPr>
      <w:spacing w:after="120"/>
      <w:ind w:left="420" w:leftChars="200"/>
    </w:pPr>
    <w:rPr>
      <w:kern w:val="0"/>
      <w:sz w:val="24"/>
      <w:szCs w:val="20"/>
    </w:rPr>
  </w:style>
  <w:style w:type="paragraph" w:styleId="8">
    <w:name w:val="table of authorities"/>
    <w:basedOn w:val="1"/>
    <w:next w:val="1"/>
    <w:qFormat/>
    <w:locked/>
    <w:uiPriority w:val="0"/>
    <w:pPr>
      <w:ind w:left="420" w:leftChars="200"/>
    </w:pPr>
  </w:style>
  <w:style w:type="paragraph" w:styleId="9">
    <w:name w:val="Normal Indent"/>
    <w:basedOn w:val="1"/>
    <w:next w:val="1"/>
    <w:qFormat/>
    <w:locked/>
    <w:uiPriority w:val="0"/>
    <w:pPr>
      <w:ind w:firstLine="420"/>
    </w:pPr>
  </w:style>
  <w:style w:type="paragraph" w:styleId="10">
    <w:name w:val="caption"/>
    <w:basedOn w:val="1"/>
    <w:next w:val="1"/>
    <w:qFormat/>
    <w:locked/>
    <w:uiPriority w:val="0"/>
    <w:pPr>
      <w:widowControl w:val="0"/>
      <w:spacing w:before="152" w:beforeLines="0" w:after="160" w:afterLines="0"/>
      <w:ind w:firstLine="0" w:firstLineChars="0"/>
      <w:jc w:val="both"/>
    </w:pPr>
    <w:rPr>
      <w:rFonts w:ascii="楷体_GB2312" w:eastAsia="楷体_GB2312"/>
      <w:sz w:val="28"/>
    </w:rPr>
  </w:style>
  <w:style w:type="paragraph" w:styleId="11">
    <w:name w:val="annotation text"/>
    <w:basedOn w:val="1"/>
    <w:link w:val="33"/>
    <w:semiHidden/>
    <w:qFormat/>
    <w:uiPriority w:val="0"/>
    <w:pPr>
      <w:jc w:val="left"/>
    </w:pPr>
    <w:rPr>
      <w:kern w:val="0"/>
      <w:sz w:val="24"/>
      <w:szCs w:val="20"/>
    </w:rPr>
  </w:style>
  <w:style w:type="paragraph" w:styleId="12">
    <w:name w:val="Body Text"/>
    <w:basedOn w:val="1"/>
    <w:link w:val="34"/>
    <w:qFormat/>
    <w:uiPriority w:val="0"/>
    <w:pPr>
      <w:widowControl/>
      <w:snapToGrid w:val="0"/>
      <w:spacing w:before="60" w:after="160" w:line="259" w:lineRule="auto"/>
      <w:ind w:right="113"/>
    </w:pPr>
    <w:rPr>
      <w:kern w:val="0"/>
      <w:sz w:val="18"/>
      <w:szCs w:val="20"/>
    </w:rPr>
  </w:style>
  <w:style w:type="paragraph" w:styleId="13">
    <w:name w:val="Block Text"/>
    <w:basedOn w:val="1"/>
    <w:qFormat/>
    <w:locked/>
    <w:uiPriority w:val="0"/>
    <w:pPr>
      <w:spacing w:line="440" w:lineRule="exact"/>
      <w:ind w:left="113" w:right="113" w:firstLine="567"/>
      <w:jc w:val="both"/>
    </w:pPr>
    <w:rPr>
      <w:rFonts w:ascii="仿宋_GB2312" w:eastAsia="仿宋_GB2312"/>
      <w:sz w:val="28"/>
    </w:rPr>
  </w:style>
  <w:style w:type="paragraph" w:styleId="14">
    <w:name w:val="Plain Text"/>
    <w:basedOn w:val="1"/>
    <w:qFormat/>
    <w:locked/>
    <w:uiPriority w:val="0"/>
    <w:pPr>
      <w:widowControl w:val="0"/>
      <w:jc w:val="both"/>
    </w:pPr>
    <w:rPr>
      <w:rFonts w:ascii="宋体" w:hAnsi="Courier New"/>
      <w:kern w:val="2"/>
      <w:sz w:val="21"/>
    </w:rPr>
  </w:style>
  <w:style w:type="paragraph" w:styleId="15">
    <w:name w:val="Date"/>
    <w:basedOn w:val="1"/>
    <w:next w:val="1"/>
    <w:link w:val="35"/>
    <w:qFormat/>
    <w:uiPriority w:val="0"/>
    <w:pPr>
      <w:ind w:left="100" w:leftChars="2500"/>
    </w:pPr>
    <w:rPr>
      <w:kern w:val="0"/>
      <w:sz w:val="24"/>
      <w:szCs w:val="20"/>
    </w:rPr>
  </w:style>
  <w:style w:type="paragraph" w:styleId="16">
    <w:name w:val="Body Text Indent 2"/>
    <w:basedOn w:val="1"/>
    <w:qFormat/>
    <w:locked/>
    <w:uiPriority w:val="0"/>
    <w:pPr>
      <w:spacing w:line="400" w:lineRule="exact"/>
      <w:ind w:firstLine="567"/>
      <w:jc w:val="both"/>
      <w:outlineLvl w:val="0"/>
    </w:pPr>
    <w:rPr>
      <w:rFonts w:ascii="楷体_GB2312" w:eastAsia="楷体_GB2312"/>
      <w:sz w:val="28"/>
    </w:rPr>
  </w:style>
  <w:style w:type="paragraph" w:styleId="17">
    <w:name w:val="Balloon Text"/>
    <w:basedOn w:val="1"/>
    <w:link w:val="36"/>
    <w:semiHidden/>
    <w:qFormat/>
    <w:uiPriority w:val="0"/>
    <w:rPr>
      <w:kern w:val="0"/>
      <w:sz w:val="18"/>
      <w:szCs w:val="20"/>
    </w:rPr>
  </w:style>
  <w:style w:type="paragraph" w:styleId="18">
    <w:name w:val="footer"/>
    <w:basedOn w:val="1"/>
    <w:link w:val="37"/>
    <w:qFormat/>
    <w:uiPriority w:val="99"/>
    <w:pPr>
      <w:tabs>
        <w:tab w:val="center" w:pos="4153"/>
        <w:tab w:val="right" w:pos="8306"/>
      </w:tabs>
      <w:snapToGrid w:val="0"/>
      <w:jc w:val="left"/>
    </w:pPr>
    <w:rPr>
      <w:kern w:val="0"/>
      <w:sz w:val="18"/>
      <w:szCs w:val="20"/>
    </w:rPr>
  </w:style>
  <w:style w:type="paragraph" w:styleId="19">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1"/>
    <w:basedOn w:val="1"/>
    <w:next w:val="1"/>
    <w:qFormat/>
    <w:locked/>
    <w:uiPriority w:val="0"/>
    <w:pPr>
      <w:tabs>
        <w:tab w:val="right" w:leader="dot" w:pos="9061"/>
      </w:tabs>
      <w:jc w:val="center"/>
    </w:pPr>
    <w:rPr>
      <w:b/>
      <w:sz w:val="28"/>
      <w:szCs w:val="28"/>
    </w:rPr>
  </w:style>
  <w:style w:type="paragraph" w:styleId="21">
    <w:name w:val="Body Text Indent 3"/>
    <w:basedOn w:val="1"/>
    <w:unhideWhenUsed/>
    <w:qFormat/>
    <w:locked/>
    <w:uiPriority w:val="99"/>
    <w:pPr>
      <w:spacing w:after="120"/>
      <w:ind w:left="420" w:leftChars="200"/>
    </w:pPr>
    <w:rPr>
      <w:rFonts w:eastAsia="Tahoma"/>
      <w:sz w:val="16"/>
      <w:szCs w:val="16"/>
      <w:lang w:eastAsia="en-US"/>
    </w:rPr>
  </w:style>
  <w:style w:type="paragraph" w:styleId="22">
    <w:name w:val="toc 2"/>
    <w:basedOn w:val="1"/>
    <w:next w:val="1"/>
    <w:qFormat/>
    <w:locked/>
    <w:uiPriority w:val="39"/>
    <w:pPr>
      <w:ind w:left="420" w:leftChars="200"/>
    </w:pPr>
    <w:rPr>
      <w:rFonts w:ascii="等线" w:hAnsi="等线" w:eastAsia="等线"/>
    </w:rPr>
  </w:style>
  <w:style w:type="paragraph" w:styleId="23">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11"/>
    <w:next w:val="11"/>
    <w:link w:val="40"/>
    <w:semiHidden/>
    <w:qFormat/>
    <w:uiPriority w:val="0"/>
    <w:rPr>
      <w:b/>
      <w:sz w:val="24"/>
      <w:szCs w:val="20"/>
    </w:r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locked/>
    <w:uiPriority w:val="0"/>
    <w:rPr>
      <w:b/>
    </w:rPr>
  </w:style>
  <w:style w:type="character" w:styleId="29">
    <w:name w:val="page number"/>
    <w:basedOn w:val="27"/>
    <w:qFormat/>
    <w:locked/>
    <w:uiPriority w:val="0"/>
  </w:style>
  <w:style w:type="character" w:styleId="30">
    <w:name w:val="Hyperlink"/>
    <w:basedOn w:val="27"/>
    <w:qFormat/>
    <w:locked/>
    <w:uiPriority w:val="0"/>
    <w:rPr>
      <w:color w:val="0000FF"/>
      <w:u w:val="single"/>
    </w:rPr>
  </w:style>
  <w:style w:type="character" w:styleId="31">
    <w:name w:val="annotation reference"/>
    <w:basedOn w:val="27"/>
    <w:semiHidden/>
    <w:qFormat/>
    <w:uiPriority w:val="0"/>
    <w:rPr>
      <w:sz w:val="21"/>
    </w:rPr>
  </w:style>
  <w:style w:type="character" w:customStyle="1" w:styleId="32">
    <w:name w:val="正文文本缩进 Char"/>
    <w:link w:val="3"/>
    <w:semiHidden/>
    <w:qFormat/>
    <w:locked/>
    <w:uiPriority w:val="0"/>
    <w:rPr>
      <w:rFonts w:ascii="Times New Roman" w:hAnsi="Times New Roman" w:eastAsia="宋体"/>
      <w:sz w:val="24"/>
    </w:rPr>
  </w:style>
  <w:style w:type="character" w:customStyle="1" w:styleId="33">
    <w:name w:val="批注文字 Char"/>
    <w:link w:val="11"/>
    <w:qFormat/>
    <w:locked/>
    <w:uiPriority w:val="0"/>
    <w:rPr>
      <w:rFonts w:ascii="Times New Roman" w:hAnsi="Times New Roman" w:eastAsia="宋体"/>
      <w:sz w:val="24"/>
    </w:rPr>
  </w:style>
  <w:style w:type="character" w:customStyle="1" w:styleId="34">
    <w:name w:val="正文文本 Char"/>
    <w:link w:val="12"/>
    <w:qFormat/>
    <w:locked/>
    <w:uiPriority w:val="0"/>
    <w:rPr>
      <w:sz w:val="18"/>
    </w:rPr>
  </w:style>
  <w:style w:type="character" w:customStyle="1" w:styleId="35">
    <w:name w:val="日期 Char"/>
    <w:link w:val="15"/>
    <w:qFormat/>
    <w:locked/>
    <w:uiPriority w:val="0"/>
    <w:rPr>
      <w:rFonts w:ascii="Times New Roman" w:hAnsi="Times New Roman" w:eastAsia="宋体"/>
      <w:sz w:val="24"/>
    </w:rPr>
  </w:style>
  <w:style w:type="character" w:customStyle="1" w:styleId="36">
    <w:name w:val="批注框文本 Char"/>
    <w:link w:val="17"/>
    <w:semiHidden/>
    <w:qFormat/>
    <w:locked/>
    <w:uiPriority w:val="0"/>
    <w:rPr>
      <w:rFonts w:ascii="Times New Roman" w:hAnsi="Times New Roman" w:eastAsia="宋体"/>
      <w:sz w:val="18"/>
    </w:rPr>
  </w:style>
  <w:style w:type="character" w:customStyle="1" w:styleId="37">
    <w:name w:val="页脚 Char"/>
    <w:link w:val="18"/>
    <w:qFormat/>
    <w:locked/>
    <w:uiPriority w:val="99"/>
    <w:rPr>
      <w:sz w:val="18"/>
    </w:rPr>
  </w:style>
  <w:style w:type="character" w:customStyle="1" w:styleId="38">
    <w:name w:val="页眉 Char"/>
    <w:link w:val="19"/>
    <w:qFormat/>
    <w:locked/>
    <w:uiPriority w:val="0"/>
    <w:rPr>
      <w:sz w:val="18"/>
    </w:rPr>
  </w:style>
  <w:style w:type="character" w:customStyle="1" w:styleId="39">
    <w:name w:val="普通(网站) Char"/>
    <w:link w:val="23"/>
    <w:qFormat/>
    <w:locked/>
    <w:uiPriority w:val="0"/>
    <w:rPr>
      <w:rFonts w:ascii="宋体" w:hAnsi="宋体" w:eastAsia="宋体"/>
      <w:sz w:val="24"/>
    </w:rPr>
  </w:style>
  <w:style w:type="character" w:customStyle="1" w:styleId="40">
    <w:name w:val="批注主题 Char"/>
    <w:link w:val="24"/>
    <w:semiHidden/>
    <w:qFormat/>
    <w:locked/>
    <w:uiPriority w:val="0"/>
    <w:rPr>
      <w:rFonts w:ascii="Times New Roman" w:hAnsi="Times New Roman" w:eastAsia="宋体"/>
      <w:b/>
      <w:kern w:val="2"/>
      <w:sz w:val="24"/>
    </w:rPr>
  </w:style>
  <w:style w:type="paragraph" w:customStyle="1" w:styleId="41">
    <w:name w:val="Default"/>
    <w:basedOn w:val="42"/>
    <w:next w:val="43"/>
    <w:qFormat/>
    <w:uiPriority w:val="0"/>
    <w:pPr>
      <w:widowControl w:val="0"/>
    </w:pPr>
    <w:rPr>
      <w:rFonts w:ascii="宋体" w:hAnsi="宋体" w:eastAsia="宋体" w:cs="宋体"/>
      <w:color w:val="000000"/>
      <w:sz w:val="24"/>
      <w:lang w:val="en-US" w:eastAsia="zh-CN" w:bidi="ar-SA"/>
    </w:rPr>
  </w:style>
  <w:style w:type="paragraph" w:customStyle="1" w:styleId="42">
    <w:name w:val="纯文本1"/>
    <w:basedOn w:val="1"/>
    <w:next w:val="14"/>
    <w:qFormat/>
    <w:uiPriority w:val="99"/>
    <w:rPr>
      <w:rFonts w:ascii="宋体" w:hAnsi="Courier New" w:eastAsia="宋体" w:cs="黑体"/>
      <w:szCs w:val="21"/>
    </w:rPr>
  </w:style>
  <w:style w:type="paragraph" w:customStyle="1" w:styleId="43">
    <w:name w:val="样式35"/>
    <w:next w:val="44"/>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44">
    <w:name w:val="font6"/>
    <w:basedOn w:val="1"/>
    <w:next w:val="22"/>
    <w:qFormat/>
    <w:uiPriority w:val="99"/>
    <w:pPr>
      <w:widowControl/>
      <w:spacing w:before="100" w:beforeAutospacing="1" w:after="100" w:afterAutospacing="1"/>
      <w:jc w:val="left"/>
    </w:pPr>
    <w:rPr>
      <w:rFonts w:ascii="宋体" w:hAnsi="宋体" w:eastAsia="宋体" w:cs="宋体"/>
      <w:kern w:val="0"/>
      <w:sz w:val="20"/>
      <w:szCs w:val="20"/>
    </w:rPr>
  </w:style>
  <w:style w:type="character" w:customStyle="1" w:styleId="45">
    <w:name w:val="批注文字 字符1"/>
    <w:semiHidden/>
    <w:qFormat/>
    <w:uiPriority w:val="0"/>
    <w:rPr>
      <w:rFonts w:ascii="Times New Roman" w:hAnsi="Times New Roman" w:eastAsia="宋体"/>
      <w:sz w:val="24"/>
    </w:rPr>
  </w:style>
  <w:style w:type="character" w:customStyle="1" w:styleId="46">
    <w:name w:val="正文文本 字符1"/>
    <w:semiHidden/>
    <w:qFormat/>
    <w:uiPriority w:val="0"/>
    <w:rPr>
      <w:rFonts w:ascii="Times New Roman" w:hAnsi="Times New Roman" w:eastAsia="宋体"/>
      <w:sz w:val="24"/>
    </w:rPr>
  </w:style>
  <w:style w:type="character" w:customStyle="1" w:styleId="47">
    <w:name w:val="font41"/>
    <w:qFormat/>
    <w:uiPriority w:val="0"/>
    <w:rPr>
      <w:rFonts w:hint="eastAsia" w:ascii="宋体" w:hAnsi="宋体" w:eastAsia="宋体" w:cs="宋体"/>
      <w:color w:val="000000"/>
      <w:sz w:val="21"/>
      <w:szCs w:val="21"/>
      <w:u w:val="none"/>
    </w:rPr>
  </w:style>
  <w:style w:type="character" w:customStyle="1" w:styleId="48">
    <w:name w:val="日期 字符"/>
    <w:semiHidden/>
    <w:qFormat/>
    <w:uiPriority w:val="0"/>
    <w:rPr>
      <w:rFonts w:ascii="Times New Roman" w:hAnsi="Times New Roman" w:eastAsia="宋体"/>
      <w:sz w:val="24"/>
    </w:rPr>
  </w:style>
  <w:style w:type="character" w:customStyle="1" w:styleId="49">
    <w:name w:val="页脚 字符"/>
    <w:basedOn w:val="27"/>
    <w:qFormat/>
    <w:uiPriority w:val="99"/>
  </w:style>
  <w:style w:type="character" w:customStyle="1" w:styleId="50">
    <w:name w:val="表格 Char"/>
    <w:link w:val="51"/>
    <w:qFormat/>
    <w:locked/>
    <w:uiPriority w:val="0"/>
    <w:rPr>
      <w:rFonts w:ascii="宋体"/>
      <w:sz w:val="21"/>
    </w:rPr>
  </w:style>
  <w:style w:type="paragraph" w:customStyle="1" w:styleId="51">
    <w:name w:val="表格"/>
    <w:basedOn w:val="1"/>
    <w:next w:val="1"/>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fontstyle31"/>
    <w:qFormat/>
    <w:uiPriority w:val="0"/>
    <w:rPr>
      <w:rFonts w:hint="eastAsia" w:ascii="新宋体" w:hAnsi="新宋体" w:eastAsia="新宋体"/>
      <w:color w:val="000000"/>
      <w:sz w:val="22"/>
      <w:szCs w:val="22"/>
    </w:rPr>
  </w:style>
  <w:style w:type="paragraph" w:customStyle="1" w:styleId="53">
    <w:name w:val="标题1"/>
    <w:basedOn w:val="8"/>
    <w:qFormat/>
    <w:uiPriority w:val="0"/>
    <w:pPr>
      <w:spacing w:before="312" w:beforeLines="100" w:after="312" w:afterLines="100"/>
      <w:ind w:left="0" w:leftChars="0" w:firstLine="0" w:firstLineChars="0"/>
    </w:pPr>
    <w:rPr>
      <w:rFonts w:ascii="宋体" w:hAnsi="宋体"/>
      <w:b/>
      <w:sz w:val="30"/>
      <w:szCs w:val="28"/>
    </w:rPr>
  </w:style>
  <w:style w:type="paragraph" w:customStyle="1" w:styleId="54">
    <w:name w:val="标题3"/>
    <w:basedOn w:val="8"/>
    <w:next w:val="5"/>
    <w:qFormat/>
    <w:uiPriority w:val="0"/>
    <w:pPr>
      <w:ind w:left="0" w:leftChars="0"/>
      <w:jc w:val="both"/>
    </w:pPr>
    <w:rPr>
      <w:rFonts w:ascii="宋体" w:hAnsi="宋体"/>
      <w:b/>
      <w:bCs/>
      <w:szCs w:val="24"/>
    </w:rPr>
  </w:style>
  <w:style w:type="paragraph" w:customStyle="1" w:styleId="5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标题2"/>
    <w:basedOn w:val="8"/>
    <w:qFormat/>
    <w:uiPriority w:val="0"/>
    <w:pPr>
      <w:spacing w:before="156" w:beforeLines="50" w:after="156" w:afterLines="50"/>
      <w:ind w:left="0" w:leftChars="0" w:firstLine="0" w:firstLineChars="0"/>
      <w:jc w:val="both"/>
    </w:pPr>
    <w:rPr>
      <w:rFonts w:ascii="宋体" w:hAnsi="宋体"/>
      <w:b/>
      <w:sz w:val="28"/>
      <w:szCs w:val="28"/>
    </w:rPr>
  </w:style>
  <w:style w:type="paragraph" w:customStyle="1" w:styleId="57">
    <w:name w:val="EIA表格标题"/>
    <w:basedOn w:val="1"/>
    <w:qFormat/>
    <w:uiPriority w:val="0"/>
    <w:pPr>
      <w:widowControl w:val="0"/>
      <w:tabs>
        <w:tab w:val="left" w:pos="4320"/>
      </w:tabs>
      <w:spacing w:before="156" w:beforeLines="50" w:line="360" w:lineRule="auto"/>
      <w:jc w:val="center"/>
    </w:pPr>
    <w:rPr>
      <w:rFonts w:eastAsia="黑体"/>
      <w:kern w:val="2"/>
      <w:sz w:val="24"/>
      <w:szCs w:val="24"/>
    </w:rPr>
  </w:style>
  <w:style w:type="paragraph" w:customStyle="1" w:styleId="58">
    <w:name w:val="Char Char Char Char Char Char Char Char Char Char Char Char Char Char Char Char Char Char Char Char Char Char Char Char Char"/>
    <w:basedOn w:val="1"/>
    <w:qFormat/>
    <w:uiPriority w:val="0"/>
    <w:pPr>
      <w:widowControl w:val="0"/>
      <w:jc w:val="both"/>
    </w:pPr>
    <w:rPr>
      <w:kern w:val="2"/>
      <w:sz w:val="24"/>
      <w:szCs w:val="24"/>
    </w:rPr>
  </w:style>
  <w:style w:type="paragraph" w:customStyle="1" w:styleId="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0">
    <w:name w:val="WPS Plain"/>
    <w:qFormat/>
    <w:uiPriority w:val="0"/>
    <w:rPr>
      <w:rFonts w:ascii="Times New Roman" w:hAnsi="Times New Roman" w:eastAsia="宋体" w:cs="Times New Roman"/>
      <w:lang w:val="en-US" w:eastAsia="zh-CN" w:bidi="ar-SA"/>
    </w:rPr>
  </w:style>
  <w:style w:type="paragraph" w:customStyle="1" w:styleId="61">
    <w:name w:val="24"/>
    <w:basedOn w:val="1"/>
    <w:qFormat/>
    <w:uiPriority w:val="0"/>
    <w:pPr>
      <w:spacing w:line="500" w:lineRule="exact"/>
      <w:ind w:firstLine="200" w:firstLineChars="200"/>
    </w:pPr>
    <w:rPr>
      <w:rFonts w:eastAsia="楷体_GB2312"/>
      <w:sz w:val="28"/>
      <w:szCs w:val="24"/>
    </w:rPr>
  </w:style>
  <w:style w:type="paragraph" w:customStyle="1" w:styleId="62">
    <w:name w:val="表题"/>
    <w:basedOn w:val="1"/>
    <w:qFormat/>
    <w:uiPriority w:val="0"/>
    <w:pPr>
      <w:widowControl w:val="0"/>
      <w:tabs>
        <w:tab w:val="left" w:pos="940"/>
      </w:tabs>
      <w:snapToGrid w:val="0"/>
      <w:jc w:val="center"/>
    </w:pPr>
    <w:rPr>
      <w:rFonts w:eastAsia="黑体"/>
      <w:kern w:val="2"/>
    </w:rPr>
  </w:style>
  <w:style w:type="paragraph" w:customStyle="1" w:styleId="63">
    <w:name w:val="样式2"/>
    <w:basedOn w:val="1"/>
    <w:qFormat/>
    <w:uiPriority w:val="0"/>
    <w:pPr>
      <w:widowControl w:val="0"/>
      <w:jc w:val="both"/>
    </w:pPr>
    <w:rPr>
      <w:sz w:val="21"/>
    </w:rPr>
  </w:style>
  <w:style w:type="paragraph" w:customStyle="1" w:styleId="64">
    <w:name w:val="A表内"/>
    <w:basedOn w:val="1"/>
    <w:qFormat/>
    <w:uiPriority w:val="0"/>
    <w:pPr>
      <w:widowControl w:val="0"/>
      <w:spacing w:line="0" w:lineRule="atLeast"/>
      <w:ind w:firstLine="0" w:firstLineChars="0"/>
      <w:jc w:val="center"/>
    </w:pPr>
    <w:rPr>
      <w:rFonts w:cs="宋体"/>
      <w:kern w:val="2"/>
      <w:sz w:val="21"/>
    </w:rPr>
  </w:style>
  <w:style w:type="paragraph" w:customStyle="1" w:styleId="65">
    <w:name w:val="表格 表头"/>
    <w:qFormat/>
    <w:uiPriority w:val="0"/>
    <w:pPr>
      <w:autoSpaceDE w:val="0"/>
      <w:autoSpaceDN w:val="0"/>
      <w:adjustRightInd w:val="0"/>
      <w:snapToGrid w:val="0"/>
      <w:spacing w:before="50" w:beforeLines="50"/>
      <w:jc w:val="center"/>
      <w:textAlignment w:val="baseline"/>
    </w:pPr>
    <w:rPr>
      <w:rFonts w:ascii="Times New Roman" w:hAnsi="Times New Roman" w:eastAsia="宋体" w:cs="华文新魏"/>
      <w:b/>
      <w:sz w:val="21"/>
      <w:szCs w:val="24"/>
      <w:lang w:val="en-US" w:eastAsia="zh-CN" w:bidi="ar-SA"/>
    </w:rPr>
  </w:style>
  <w:style w:type="paragraph" w:customStyle="1" w:styleId="66">
    <w:name w:val="样式 样式 宋体 小四号 行距: 1.5 倍行距 + 首行缩进:  2 字符"/>
    <w:basedOn w:val="1"/>
    <w:qFormat/>
    <w:uiPriority w:val="0"/>
    <w:pPr>
      <w:ind w:firstLine="496"/>
    </w:pPr>
    <w:rPr>
      <w:rFonts w:cs="宋体"/>
      <w:spacing w:val="4"/>
    </w:rPr>
  </w:style>
  <w:style w:type="paragraph" w:customStyle="1" w:styleId="67">
    <w:name w:val="正文 Char Char"/>
    <w:basedOn w:val="1"/>
    <w:qFormat/>
    <w:uiPriority w:val="0"/>
    <w:pPr>
      <w:spacing w:line="360" w:lineRule="auto"/>
      <w:ind w:firstLine="200"/>
      <w:jc w:val="both"/>
    </w:pPr>
    <w:rPr>
      <w:rFonts w:ascii="宋体" w:hAnsi="宋体" w:cs="宋体"/>
      <w:kern w:val="1"/>
      <w:sz w:val="24"/>
      <w:szCs w:val="24"/>
    </w:rPr>
  </w:style>
  <w:style w:type="paragraph" w:customStyle="1" w:styleId="68">
    <w:name w:val="A表格标题"/>
    <w:basedOn w:val="1"/>
    <w:qFormat/>
    <w:uiPriority w:val="0"/>
    <w:pPr>
      <w:widowControl w:val="0"/>
      <w:spacing w:before="156" w:beforeLines="50"/>
      <w:ind w:firstLine="0" w:firstLineChars="0"/>
      <w:jc w:val="center"/>
    </w:pPr>
    <w:rPr>
      <w:rFonts w:eastAsia="黑体"/>
    </w:rPr>
  </w:style>
  <w:style w:type="paragraph" w:customStyle="1" w:styleId="69">
    <w:name w:val="Table Paragraph"/>
    <w:basedOn w:val="1"/>
    <w:qFormat/>
    <w:uiPriority w:val="1"/>
    <w:pPr>
      <w:jc w:val="center"/>
    </w:pPr>
    <w:rPr>
      <w:rFonts w:ascii="宋体" w:hAnsi="宋体" w:eastAsia="宋体" w:cs="宋体"/>
      <w:lang w:val="zh-CN" w:eastAsia="zh-CN" w:bidi="zh-CN"/>
    </w:rPr>
  </w:style>
  <w:style w:type="paragraph" w:styleId="70">
    <w:name w:val="List Paragraph"/>
    <w:basedOn w:val="1"/>
    <w:qFormat/>
    <w:uiPriority w:val="1"/>
    <w:pPr>
      <w:ind w:left="1363" w:hanging="602"/>
    </w:pPr>
    <w:rPr>
      <w:rFonts w:ascii="宋体" w:hAnsi="宋体" w:eastAsia="宋体" w:cs="宋体"/>
      <w:lang w:val="zh-CN" w:eastAsia="zh-CN" w:bidi="zh-CN"/>
    </w:rPr>
  </w:style>
  <w:style w:type="paragraph" w:customStyle="1" w:styleId="71">
    <w:name w:val="表格1"/>
    <w:basedOn w:val="1"/>
    <w:qFormat/>
    <w:uiPriority w:val="99"/>
    <w:pPr>
      <w:spacing w:after="120" w:line="20" w:lineRule="atLeast"/>
      <w:jc w:val="center"/>
    </w:pPr>
    <w:rPr>
      <w:rFonts w:ascii="仿宋体"/>
      <w:color w:val="000000"/>
      <w:kern w:val="0"/>
    </w:rPr>
  </w:style>
  <w:style w:type="paragraph" w:customStyle="1" w:styleId="72">
    <w:name w:val=" Char Char Char Char Char Char Char Char Char Char Char Char Char Char Char Char Char Char Char Char Char Char Char Char Char"/>
    <w:basedOn w:val="1"/>
    <w:qFormat/>
    <w:uiPriority w:val="0"/>
    <w:rPr>
      <w:sz w:val="24"/>
    </w:rPr>
  </w:style>
  <w:style w:type="paragraph" w:customStyle="1" w:styleId="73">
    <w:name w:val="样式 [正文格式] + 首行缩进:  2 字符"/>
    <w:basedOn w:val="1"/>
    <w:qFormat/>
    <w:uiPriority w:val="0"/>
    <w:pPr>
      <w:ind w:firstLine="200" w:firstLineChars="200"/>
    </w:pPr>
    <w:rPr>
      <w:rFonts w:cs="宋体"/>
      <w:sz w:val="24"/>
      <w:szCs w:val="20"/>
    </w:rPr>
  </w:style>
  <w:style w:type="paragraph" w:customStyle="1" w:styleId="74">
    <w:name w:val="统一正文"/>
    <w:basedOn w:val="1"/>
    <w:qFormat/>
    <w:uiPriority w:val="0"/>
    <w:pPr>
      <w:widowControl w:val="0"/>
      <w:autoSpaceDE w:val="0"/>
      <w:autoSpaceDN w:val="0"/>
      <w:spacing w:line="360" w:lineRule="auto"/>
      <w:ind w:firstLine="567" w:firstLineChars="200"/>
      <w:textAlignment w:val="baseline"/>
    </w:pPr>
    <w:rPr>
      <w:sz w:val="28"/>
      <w:lang w:bidi="he-IL"/>
    </w:rPr>
  </w:style>
  <w:style w:type="paragraph" w:customStyle="1" w:styleId="75">
    <w:name w:val="封面正标题"/>
    <w:next w:val="76"/>
    <w:qFormat/>
    <w:uiPriority w:val="0"/>
    <w:pPr>
      <w:adjustRightInd w:val="0"/>
      <w:snapToGrid w:val="0"/>
      <w:jc w:val="center"/>
    </w:pPr>
    <w:rPr>
      <w:rFonts w:ascii="Times New Roman" w:hAnsi="Times New Roman" w:eastAsia="方正小标宋_GBK" w:cs="Times New Roman"/>
      <w:bCs/>
      <w:kern w:val="2"/>
      <w:sz w:val="72"/>
      <w:szCs w:val="72"/>
      <w:lang w:val="en-US" w:eastAsia="zh-CN" w:bidi="ar-SA"/>
    </w:rPr>
  </w:style>
  <w:style w:type="paragraph" w:customStyle="1" w:styleId="76">
    <w:name w:val="封面副标题"/>
    <w:basedOn w:val="41"/>
    <w:qFormat/>
    <w:uiPriority w:val="0"/>
    <w:pPr>
      <w:adjustRightInd w:val="0"/>
      <w:snapToGrid w:val="0"/>
      <w:spacing w:before="80" w:beforeLines="80" w:line="240" w:lineRule="auto"/>
      <w:ind w:firstLine="0" w:firstLineChars="0"/>
      <w:jc w:val="center"/>
    </w:pPr>
    <w:rPr>
      <w:rFonts w:eastAsia="楷体_GB2312"/>
      <w:bCs/>
      <w:sz w:val="48"/>
      <w:szCs w:val="48"/>
    </w:rPr>
  </w:style>
  <w:style w:type="paragraph" w:customStyle="1" w:styleId="77">
    <w:name w:val="封面表格"/>
    <w:next w:val="78"/>
    <w:qFormat/>
    <w:uiPriority w:val="0"/>
    <w:pPr>
      <w:adjustRightInd w:val="0"/>
      <w:snapToGrid w:val="0"/>
      <w:jc w:val="center"/>
    </w:pPr>
    <w:rPr>
      <w:rFonts w:ascii="宋体" w:hAnsi="Times New Roman" w:eastAsia="仿宋_GB2312" w:cs="宋体"/>
      <w:color w:val="000000"/>
      <w:sz w:val="36"/>
      <w:szCs w:val="36"/>
      <w:lang w:val="en-US" w:eastAsia="zh-CN" w:bidi="ar-SA"/>
    </w:rPr>
  </w:style>
  <w:style w:type="paragraph" w:customStyle="1" w:styleId="78">
    <w:name w:val="封面底标"/>
    <w:qFormat/>
    <w:uiPriority w:val="0"/>
    <w:pPr>
      <w:adjustRightInd w:val="0"/>
      <w:snapToGrid w:val="0"/>
      <w:jc w:val="center"/>
    </w:pPr>
    <w:rPr>
      <w:rFonts w:ascii="Times New Roman" w:hAnsi="Times New Roman" w:eastAsia="楷体_GB2312" w:cs="Times New Roman"/>
      <w:kern w:val="2"/>
      <w:sz w:val="36"/>
      <w:szCs w:val="36"/>
      <w:lang w:val="en-US" w:eastAsia="zh-CN" w:bidi="ar-SA"/>
    </w:rPr>
  </w:style>
  <w:style w:type="paragraph" w:customStyle="1" w:styleId="79">
    <w:name w:val="正文内容"/>
    <w:basedOn w:val="1"/>
    <w:qFormat/>
    <w:uiPriority w:val="0"/>
    <w:pPr>
      <w:ind w:firstLine="480"/>
      <w:jc w:val="left"/>
    </w:pPr>
    <w:rPr>
      <w:szCs w:val="20"/>
    </w:rPr>
  </w:style>
  <w:style w:type="paragraph" w:customStyle="1" w:styleId="80">
    <w:name w:val="正无缩（新格式）"/>
    <w:qFormat/>
    <w:uiPriority w:val="0"/>
    <w:pPr>
      <w:spacing w:line="360" w:lineRule="auto"/>
    </w:pPr>
    <w:rPr>
      <w:rFonts w:ascii="Times New Roman" w:hAnsi="Times New Roman" w:eastAsia="宋体" w:cs="Times New Roman"/>
      <w:kern w:val="2"/>
      <w:sz w:val="24"/>
      <w:szCs w:val="21"/>
      <w:lang w:val="en-US" w:eastAsia="zh-CN" w:bidi="ar-SA"/>
    </w:rPr>
  </w:style>
  <w:style w:type="paragraph" w:customStyle="1" w:styleId="81">
    <w:name w:val="正空两（新格式）"/>
    <w:basedOn w:val="1"/>
    <w:qFormat/>
    <w:uiPriority w:val="0"/>
    <w:pPr>
      <w:keepNext w:val="0"/>
      <w:keepLines w:val="0"/>
      <w:widowControl/>
      <w:suppressLineNumbers w:val="0"/>
      <w:spacing w:before="0" w:beforeAutospacing="0" w:after="0" w:afterAutospacing="0" w:line="360" w:lineRule="auto"/>
      <w:ind w:left="0" w:right="0" w:firstLine="200" w:firstLineChars="200"/>
      <w:jc w:val="both"/>
    </w:pPr>
    <w:rPr>
      <w:rFonts w:hint="default" w:ascii="Times New Roman" w:hAnsi="Times New Roman" w:eastAsia="宋体" w:cs="Times New Roman"/>
      <w:color w:val="auto"/>
      <w:kern w:val="2"/>
      <w:sz w:val="24"/>
      <w:szCs w:val="24"/>
      <w:lang w:val="en-US" w:eastAsia="zh-CN" w:bidi="ar"/>
    </w:rPr>
  </w:style>
  <w:style w:type="paragraph" w:customStyle="1" w:styleId="82">
    <w:name w:val="表格标题样式1"/>
    <w:basedOn w:val="1"/>
    <w:qFormat/>
    <w:uiPriority w:val="99"/>
    <w:pPr>
      <w:widowControl/>
      <w:numPr>
        <w:ilvl w:val="0"/>
        <w:numId w:val="1"/>
      </w:numPr>
      <w:tabs>
        <w:tab w:val="left" w:pos="3828"/>
      </w:tabs>
      <w:spacing w:beforeLines="50" w:line="360" w:lineRule="auto"/>
      <w:jc w:val="center"/>
    </w:pPr>
    <w:rPr>
      <w:rFonts w:ascii="黑体" w:eastAsia="黑体" w:cs="黑体"/>
      <w:kern w:val="0"/>
      <w:sz w:val="24"/>
      <w:szCs w:val="24"/>
    </w:rPr>
  </w:style>
  <w:style w:type="paragraph" w:customStyle="1" w:styleId="83">
    <w:name w:val="表格文字（新格式）"/>
    <w:basedOn w:val="1"/>
    <w:qFormat/>
    <w:uiPriority w:val="0"/>
    <w:pPr>
      <w:keepNext w:val="0"/>
      <w:keepLines w:val="0"/>
      <w:widowControl/>
      <w:suppressLineNumbers w:val="0"/>
      <w:adjustRightInd w:val="0"/>
      <w:snapToGrid w:val="0"/>
      <w:spacing w:before="0" w:beforeAutospacing="0" w:after="0" w:afterAutospacing="0"/>
      <w:ind w:left="0" w:right="0"/>
      <w:jc w:val="center"/>
    </w:pPr>
    <w:rPr>
      <w:rFonts w:hint="default" w:ascii="Times New Roman" w:hAnsi="Times New Roman" w:eastAsia="宋体" w:cs="Times New Roman"/>
      <w:kern w:val="2"/>
      <w:sz w:val="21"/>
      <w:szCs w:val="24"/>
      <w:lang w:val="en-US" w:eastAsia="zh-CN" w:bidi="ar"/>
    </w:rPr>
  </w:style>
  <w:style w:type="paragraph" w:customStyle="1" w:styleId="84">
    <w:name w:val="表、图名（新格式）"/>
    <w:basedOn w:val="1"/>
    <w:qFormat/>
    <w:uiPriority w:val="0"/>
    <w:pPr>
      <w:keepNext w:val="0"/>
      <w:keepLines w:val="0"/>
      <w:widowControl w:val="0"/>
      <w:suppressLineNumbers w:val="0"/>
      <w:adjustRightInd w:val="0"/>
      <w:snapToGrid w:val="0"/>
      <w:spacing w:before="50" w:beforeLines="50" w:beforeAutospacing="0" w:after="0" w:afterAutospacing="0"/>
      <w:ind w:left="0" w:right="0"/>
      <w:jc w:val="center"/>
    </w:pPr>
    <w:rPr>
      <w:rFonts w:hint="default" w:ascii="Times New Roman" w:hAnsi="Times New Roman" w:eastAsia="黑体" w:cs="Times New Roman"/>
      <w:color w:val="000000"/>
      <w:kern w:val="2"/>
      <w:sz w:val="24"/>
      <w:szCs w:val="24"/>
      <w:lang w:val="en-US" w:eastAsia="zh-CN" w:bidi="ar"/>
    </w:rPr>
  </w:style>
  <w:style w:type="paragraph" w:customStyle="1" w:styleId="85">
    <w:name w:val="表、图名（表）"/>
    <w:basedOn w:val="1"/>
    <w:qFormat/>
    <w:uiPriority w:val="0"/>
    <w:pPr>
      <w:keepNext w:val="0"/>
      <w:keepLines w:val="0"/>
      <w:widowControl w:val="0"/>
      <w:suppressLineNumbers w:val="0"/>
      <w:adjustRightInd w:val="0"/>
      <w:snapToGrid w:val="0"/>
      <w:spacing w:before="120" w:beforeLines="50" w:beforeAutospacing="0" w:after="0" w:afterAutospacing="0"/>
      <w:ind w:left="0" w:right="0"/>
      <w:jc w:val="center"/>
    </w:pPr>
    <w:rPr>
      <w:rFonts w:hint="default" w:ascii="Times New Roman" w:hAnsi="Times New Roman" w:eastAsia="黑体" w:cs="Times New Roman"/>
      <w:kern w:val="2"/>
      <w:sz w:val="24"/>
      <w:szCs w:val="24"/>
      <w:lang w:val="en-US" w:eastAsia="zh-CN" w:bidi="ar"/>
    </w:rPr>
  </w:style>
  <w:style w:type="paragraph" w:customStyle="1" w:styleId="86">
    <w:name w:val="表格文字（表）"/>
    <w:basedOn w:val="1"/>
    <w:qFormat/>
    <w:uiPriority w:val="0"/>
    <w:pPr>
      <w:keepNext w:val="0"/>
      <w:keepLines w:val="0"/>
      <w:widowControl/>
      <w:suppressLineNumbers w:val="0"/>
      <w:adjustRightInd w:val="0"/>
      <w:snapToGrid w:val="0"/>
      <w:spacing w:before="0" w:beforeAutospacing="0" w:after="0" w:afterAutospacing="0"/>
      <w:ind w:left="0" w:right="0"/>
      <w:jc w:val="center"/>
    </w:pPr>
    <w:rPr>
      <w:rFonts w:hint="default" w:ascii="Times New Roman" w:hAnsi="Times New Roman" w:eastAsia="宋体" w:cs="Times New Roman"/>
      <w:kern w:val="2"/>
      <w:sz w:val="21"/>
      <w:szCs w:val="24"/>
      <w:lang w:val="en-US" w:eastAsia="zh-CN" w:bidi="ar"/>
    </w:rPr>
  </w:style>
  <w:style w:type="paragraph" w:customStyle="1" w:styleId="87">
    <w:name w:val="0"/>
    <w:basedOn w:val="1"/>
    <w:qFormat/>
    <w:uiPriority w:val="0"/>
    <w:pPr>
      <w:widowControl/>
      <w:snapToGrid w:val="0"/>
      <w:spacing w:line="365" w:lineRule="atLeast"/>
      <w:ind w:left="1"/>
      <w:textAlignment w:val="bottom"/>
    </w:pPr>
    <w:rPr>
      <w:rFonts w:ascii="宋体"/>
      <w:kern w:val="0"/>
      <w:sz w:val="20"/>
      <w:szCs w:val="20"/>
    </w:rPr>
  </w:style>
  <w:style w:type="paragraph" w:customStyle="1" w:styleId="88">
    <w:name w:val="表格的字"/>
    <w:basedOn w:val="1"/>
    <w:qFormat/>
    <w:uiPriority w:val="0"/>
    <w:pPr>
      <w:spacing w:line="240" w:lineRule="auto"/>
      <w:jc w:val="center"/>
    </w:pPr>
    <w:rPr>
      <w:rFonts w:ascii="@華康粗黑體" w:hAnsi="@華康粗黑體" w:eastAsia="@華康粗黑體"/>
      <w:lang w:eastAsia="en-US"/>
    </w:rPr>
  </w:style>
  <w:style w:type="paragraph" w:customStyle="1" w:styleId="89">
    <w:name w:val="正文内容（表）"/>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90">
    <w:name w:val="正文表格（新格式）"/>
    <w:qFormat/>
    <w:uiPriority w:val="0"/>
    <w:pPr>
      <w:adjustRightInd w:val="0"/>
      <w:snapToGrid w:val="0"/>
      <w:jc w:val="center"/>
    </w:pPr>
    <w:rPr>
      <w:rFonts w:ascii="Times New Roman" w:hAnsi="Times New Roman" w:eastAsia="宋体" w:cs="Times New Roman"/>
      <w:kern w:val="2"/>
      <w:sz w:val="21"/>
      <w:szCs w:val="24"/>
      <w:lang w:val="en-US" w:eastAsia="zh-CN" w:bidi="ar-SA"/>
    </w:rPr>
  </w:style>
  <w:style w:type="paragraph" w:customStyle="1" w:styleId="91">
    <w:name w:val="正文1"/>
    <w:basedOn w:val="1"/>
    <w:qFormat/>
    <w:uiPriority w:val="0"/>
    <w:pPr>
      <w:snapToGrid w:val="0"/>
      <w:spacing w:before="62" w:beforeLines="20" w:after="62" w:afterLines="20" w:line="312" w:lineRule="auto"/>
      <w:ind w:firstLine="475" w:firstLineChars="198"/>
    </w:pPr>
    <w:rPr>
      <w:rFonts w:ascii="宋体" w:hAnsi="宋体" w:eastAsia="Tahoma"/>
      <w:color w:val="000000"/>
      <w:sz w:val="20"/>
      <w:szCs w:val="20"/>
      <w:lang w:eastAsia="en-US"/>
    </w:rPr>
  </w:style>
  <w:style w:type="paragraph" w:customStyle="1" w:styleId="92">
    <w:name w:val="表号、图号"/>
    <w:basedOn w:val="1"/>
    <w:qFormat/>
    <w:uiPriority w:val="0"/>
    <w:pPr>
      <w:spacing w:before="50" w:beforeLines="50" w:line="240" w:lineRule="auto"/>
      <w:ind w:firstLine="0" w:firstLineChars="0"/>
      <w:jc w:val="center"/>
    </w:pPr>
    <w:rPr>
      <w:rFonts w:ascii="Times New Roman" w:hAnsi="Times New Roman" w:eastAsia="黑体"/>
      <w:color w:val="auto"/>
      <w:kern w:val="2"/>
      <w:szCs w:val="20"/>
    </w:rPr>
  </w:style>
  <w:style w:type="character" w:customStyle="1" w:styleId="93">
    <w:name w:val="font61"/>
    <w:basedOn w:val="27"/>
    <w:qFormat/>
    <w:uiPriority w:val="0"/>
    <w:rPr>
      <w:rFonts w:hint="eastAsia" w:ascii="宋体" w:hAnsi="宋体" w:eastAsia="宋体" w:cs="宋体"/>
      <w:color w:val="000000"/>
      <w:sz w:val="21"/>
      <w:szCs w:val="21"/>
      <w:u w:val="none"/>
    </w:rPr>
  </w:style>
  <w:style w:type="paragraph" w:customStyle="1" w:styleId="94">
    <w:name w:val="表居中"/>
    <w:qFormat/>
    <w:uiPriority w:val="0"/>
    <w:pPr>
      <w:adjustRightInd w:val="0"/>
      <w:snapToGrid w:val="0"/>
      <w:jc w:val="center"/>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68</Pages>
  <Words>32269</Words>
  <Characters>38409</Characters>
  <Lines>13</Lines>
  <Paragraphs>3</Paragraphs>
  <TotalTime>6</TotalTime>
  <ScaleCrop>false</ScaleCrop>
  <LinksUpToDate>false</LinksUpToDate>
  <CharactersWithSpaces>38579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C</cp:lastModifiedBy>
  <cp:lastPrinted>2021-07-12T08:47:00Z</cp:lastPrinted>
  <dcterms:modified xsi:type="dcterms:W3CDTF">2024-08-07T02:36:41Z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CFC08F8113C3413E88D992C35CFEFC1E_13</vt:lpwstr>
  </property>
</Properties>
</file>