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Style w:val="5"/>
          <w:rFonts w:hint="eastAsia" w:asciiTheme="minorEastAsia" w:hAnsiTheme="minorEastAsia" w:eastAsiaTheme="minorEastAsia" w:cstheme="minorEastAsia"/>
          <w:color w:val="CC0000"/>
          <w:kern w:val="0"/>
          <w:sz w:val="24"/>
          <w:szCs w:val="24"/>
          <w:lang w:val="en-US" w:eastAsia="zh-CN" w:bidi="ar"/>
        </w:rPr>
        <w:t>全国人民代表大会常务委员会关于全面禁止非法野生动物交易</w:t>
      </w:r>
      <w:bookmarkStart w:id="0" w:name="_GoBack"/>
      <w:r>
        <w:rPr>
          <w:rStyle w:val="5"/>
          <w:rFonts w:hint="eastAsia" w:asciiTheme="minorEastAsia" w:hAnsiTheme="minorEastAsia" w:eastAsiaTheme="minorEastAsia" w:cstheme="minorEastAsia"/>
          <w:color w:val="CC0000"/>
          <w:kern w:val="0"/>
          <w:sz w:val="24"/>
          <w:szCs w:val="24"/>
          <w:lang w:val="en-US" w:eastAsia="zh-CN" w:bidi="ar"/>
        </w:rPr>
        <w:t>、革除滥食野生</w:t>
      </w:r>
      <w:bookmarkEnd w:id="0"/>
      <w:r>
        <w:rPr>
          <w:rStyle w:val="5"/>
          <w:rFonts w:hint="eastAsia" w:asciiTheme="minorEastAsia" w:hAnsiTheme="minorEastAsia" w:eastAsiaTheme="minorEastAsia" w:cstheme="minorEastAsia"/>
          <w:color w:val="CC0000"/>
          <w:kern w:val="0"/>
          <w:sz w:val="24"/>
          <w:szCs w:val="24"/>
          <w:lang w:val="en-US" w:eastAsia="zh-CN" w:bidi="ar"/>
        </w:rPr>
        <w:t>动物陋习、切实保障人民群众生命健康安全的决定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（2020年2月24日第十三届全国人民代表大会常务委员会第十六次会议通过）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512" w:firstLineChars="20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为了全面禁止和惩治非法野生动物交易行为，革除滥食野生动物的陋习，维护生物安全和生态安全，有效防范重大公共卫生风险，切实保障人民群众生命健康安全，加强生态文明建设，促进人与自然和谐共生，全国人民代表大会常务委员会作出如下决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一、凡《中华人民共和国野生动物保护法》和其他有关法律禁止猎捕、交易、运输、食用野生动物的，必须严格禁止。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对违反前款规定的行为，在现行法律规定基础上加重处罚。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二、全面禁止食用国家保护的“有重要生态、科学、社会价值的陆生野生动物”以及其他陆生野生动物，包括人工繁育、人工饲养的陆生野生动物。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全面禁止以食用为目的猎捕、交易、运输在野外环境自然生长繁殖的陆生野生动物。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对违反前两款规定的行为，参照适用现行法律有关规定处罚。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三、列入畜禽遗传资源目录的动物，属于家畜家禽，适用《中华人民共和国畜牧法》的规定。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国务院畜牧兽医行政主管部门依法制定并公布畜禽遗传资源目录。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四、因科研、药用、展示等特殊情况，需要对野生动物进行非食用性利用的，应当按照国家有关规定实行严格审批和检疫检验。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国务院及其有关主管部门应当及时制定、完善野生动物非食用性利用的审批和检疫检验等规定，并严格执行。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五、各级人民政府和人民团体、社会组织、学校、新闻媒体等社会各方面，都应当积极开展生态环境保护和公共卫生安全的宣传教育和引导，全社会成员要自觉增强生态保护和公共卫生安全意识，移风易俗，革除滥食野生动物陋习，养成科学健康文明的生活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六、各级人民政府及其有关部门应当健全执法管理体制，明确执法责任主体，落实执法管理责任，加强协调配合，加大监督检查和责任追究力度，严格查处违反本决定和有关法律法规的行为；对违法经营场所和违法经营者，依法予以取缔或者查封、关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七、国务院及其有关部门和省、自治区、直辖市应当依据本决定和有关法律，制定、调整相关名录和配套规定。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国务院和地方人民政府应当采取必要措施，为本决定的实施提供相应保障。有关地方人民政府应当支持、指导、帮助受影响的农户调整、转变生产经营活动，根据实际情况给予一定补偿。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八、本决定自公布之日起施行。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440A3"/>
    <w:rsid w:val="138440A3"/>
    <w:rsid w:val="3EED6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2020-02-26T07:28:00Z</dcterms:created>
  <dc:creator>admin</dc:creator>
  <cp:lastModifiedBy>admin</cp:lastModifiedBy>
  <dcterms:modified xsi:type="dcterms:W3CDTF">2020-02-26T07:34:11Z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