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4"/>
        <w:gridCol w:w="3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一般公共预算“三公”经费支出预算表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1、因公出国（境）费用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2、公务接待费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3、公务用车购置及运行费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其中：（1）公务用车购置费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（2）公务用车运行费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</w:tbl>
    <w:p>
      <w:pPr>
        <w:tabs>
          <w:tab w:val="left" w:pos="7513"/>
        </w:tabs>
        <w:adjustRightInd w:val="0"/>
        <w:snapToGrid w:val="0"/>
        <w:spacing w:line="300" w:lineRule="auto"/>
        <w:jc w:val="left"/>
        <w:rPr>
          <w:rFonts w:hint="eastAsia" w:ascii="楷体" w:hAnsi="楷体" w:eastAsia="楷体" w:cs="Times New Roman"/>
          <w:kern w:val="0"/>
          <w:szCs w:val="21"/>
        </w:rPr>
      </w:pPr>
    </w:p>
    <w:p>
      <w:pPr>
        <w:tabs>
          <w:tab w:val="left" w:pos="7513"/>
        </w:tabs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、一般公共预算“三公”经费支出情况</w:t>
      </w:r>
    </w:p>
    <w:p>
      <w:pPr>
        <w:widowControl/>
        <w:adjustRightInd w:val="0"/>
        <w:snapToGrid w:val="0"/>
        <w:spacing w:line="600" w:lineRule="exact"/>
        <w:ind w:firstLine="660"/>
        <w:rPr>
          <w:rFonts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因公出国（境）经费</w:t>
      </w:r>
    </w:p>
    <w:p>
      <w:pPr>
        <w:widowControl/>
        <w:adjustRightInd w:val="0"/>
        <w:snapToGrid w:val="0"/>
        <w:spacing w:line="600" w:lineRule="exact"/>
        <w:ind w:firstLine="66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宋体"/>
          <w:kern w:val="0"/>
          <w:sz w:val="32"/>
          <w:szCs w:val="32"/>
        </w:rPr>
        <w:t>年预算安排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万元。主要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无此项目支出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与</w:t>
      </w:r>
      <w:r>
        <w:rPr>
          <w:rFonts w:hint="eastAsia" w:ascii="仿宋" w:hAnsi="仿宋" w:eastAsia="仿宋" w:cs="宋体"/>
          <w:bCs/>
          <w:sz w:val="32"/>
          <w:szCs w:val="32"/>
        </w:rPr>
        <w:t>上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持平</w:t>
      </w:r>
      <w:r>
        <w:rPr>
          <w:rFonts w:hint="eastAsia" w:ascii="仿宋" w:hAnsi="仿宋" w:eastAsia="仿宋" w:cs="仿宋_GB2312"/>
          <w:sz w:val="32"/>
          <w:szCs w:val="32"/>
        </w:rPr>
        <w:t>，主要原因是</w:t>
      </w:r>
      <w:r>
        <w:rPr>
          <w:rFonts w:hint="eastAsia" w:ascii="仿宋" w:hAnsi="仿宋" w:eastAsia="仿宋" w:cs="宋体"/>
          <w:kern w:val="0"/>
          <w:sz w:val="32"/>
          <w:szCs w:val="32"/>
        </w:rPr>
        <w:t>:</w:t>
      </w:r>
      <w:r>
        <w:rPr>
          <w:rFonts w:hint="eastAsia" w:ascii="仿宋" w:hAnsi="仿宋" w:eastAsia="仿宋" w:cs="宋体"/>
          <w:b w:val="0"/>
          <w:kern w:val="0"/>
          <w:sz w:val="32"/>
          <w:szCs w:val="32"/>
          <w:lang w:eastAsia="zh-CN"/>
        </w:rPr>
        <w:t>无此项目支出。</w:t>
      </w:r>
    </w:p>
    <w:p>
      <w:pPr>
        <w:widowControl/>
        <w:adjustRightInd w:val="0"/>
        <w:snapToGrid w:val="0"/>
        <w:spacing w:line="600" w:lineRule="exact"/>
        <w:ind w:firstLine="660"/>
        <w:rPr>
          <w:rFonts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公务接待费</w:t>
      </w:r>
    </w:p>
    <w:p>
      <w:pPr>
        <w:widowControl/>
        <w:adjustRightInd w:val="0"/>
        <w:snapToGrid w:val="0"/>
        <w:spacing w:line="600" w:lineRule="exact"/>
        <w:ind w:firstLine="6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宋体"/>
          <w:kern w:val="0"/>
          <w:sz w:val="32"/>
          <w:szCs w:val="32"/>
        </w:rPr>
        <w:t>年预算安排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万元。主要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无此项目支出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与</w:t>
      </w:r>
      <w:r>
        <w:rPr>
          <w:rFonts w:hint="eastAsia" w:ascii="仿宋" w:hAnsi="仿宋" w:eastAsia="仿宋" w:cs="宋体"/>
          <w:bCs/>
          <w:sz w:val="32"/>
          <w:szCs w:val="32"/>
        </w:rPr>
        <w:t>上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持平</w:t>
      </w:r>
      <w:r>
        <w:rPr>
          <w:rFonts w:hint="eastAsia" w:ascii="仿宋" w:hAnsi="仿宋" w:eastAsia="仿宋" w:cs="仿宋_GB2312"/>
          <w:sz w:val="32"/>
          <w:szCs w:val="32"/>
        </w:rPr>
        <w:t>，主要原因是</w:t>
      </w:r>
      <w:r>
        <w:rPr>
          <w:rFonts w:hint="eastAsia" w:ascii="仿宋" w:hAnsi="仿宋" w:eastAsia="仿宋" w:cs="宋体"/>
          <w:kern w:val="0"/>
          <w:sz w:val="32"/>
          <w:szCs w:val="32"/>
        </w:rPr>
        <w:t>:</w:t>
      </w:r>
      <w:r>
        <w:rPr>
          <w:rFonts w:hint="eastAsia" w:ascii="仿宋" w:hAnsi="仿宋" w:eastAsia="仿宋" w:cs="宋体"/>
          <w:b w:val="0"/>
          <w:kern w:val="0"/>
          <w:sz w:val="32"/>
          <w:szCs w:val="32"/>
          <w:lang w:eastAsia="zh-CN"/>
        </w:rPr>
        <w:t>无此项目支出。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公务用车购置及运行费</w:t>
      </w:r>
    </w:p>
    <w:p>
      <w:pPr>
        <w:widowControl/>
        <w:adjustRightInd w:val="0"/>
        <w:snapToGrid w:val="0"/>
        <w:spacing w:line="600" w:lineRule="exact"/>
        <w:ind w:firstLine="6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年预算安排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万元。主要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无此项目支出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与</w:t>
      </w:r>
      <w:r>
        <w:rPr>
          <w:rFonts w:hint="eastAsia" w:ascii="仿宋" w:hAnsi="仿宋" w:eastAsia="仿宋" w:cs="宋体"/>
          <w:bCs/>
          <w:sz w:val="32"/>
          <w:szCs w:val="32"/>
        </w:rPr>
        <w:t>上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持平</w:t>
      </w:r>
      <w:r>
        <w:rPr>
          <w:rFonts w:hint="eastAsia" w:ascii="仿宋" w:hAnsi="仿宋" w:eastAsia="仿宋" w:cs="仿宋_GB2312"/>
          <w:sz w:val="32"/>
          <w:szCs w:val="32"/>
        </w:rPr>
        <w:t>，主要原因是</w:t>
      </w:r>
      <w:r>
        <w:rPr>
          <w:rFonts w:hint="eastAsia" w:ascii="仿宋" w:hAnsi="仿宋" w:eastAsia="仿宋" w:cs="宋体"/>
          <w:kern w:val="0"/>
          <w:sz w:val="32"/>
          <w:szCs w:val="32"/>
        </w:rPr>
        <w:t>:</w:t>
      </w:r>
      <w:r>
        <w:rPr>
          <w:rFonts w:hint="eastAsia" w:ascii="仿宋" w:hAnsi="仿宋" w:eastAsia="仿宋" w:cs="宋体"/>
          <w:b w:val="0"/>
          <w:kern w:val="0"/>
          <w:sz w:val="32"/>
          <w:szCs w:val="32"/>
          <w:lang w:eastAsia="zh-CN"/>
        </w:rPr>
        <w:t>无此项目支出。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wNWMxZDhiN2VkOTdjYzBkNDViMGVhZWRiYjQ4MWMifQ=="/>
  </w:docVars>
  <w:rsids>
    <w:rsidRoot w:val="10CC1A52"/>
    <w:rsid w:val="06D27FA2"/>
    <w:rsid w:val="0896758D"/>
    <w:rsid w:val="10CC1A52"/>
    <w:rsid w:val="15095FD5"/>
    <w:rsid w:val="15837B45"/>
    <w:rsid w:val="25BF2263"/>
    <w:rsid w:val="394746E4"/>
    <w:rsid w:val="538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beforeLines="0" w:beforeAutospacing="0" w:after="200" w:afterLines="0" w:afterAutospacing="0" w:line="240" w:lineRule="auto"/>
      <w:ind w:firstLine="0" w:firstLineChars="0"/>
      <w:jc w:val="center"/>
      <w:outlineLvl w:val="0"/>
    </w:pPr>
    <w:rPr>
      <w:rFonts w:ascii="Calibri" w:hAnsi="Calibri" w:eastAsia="黑体" w:cs="Times New Roman"/>
      <w:b/>
      <w:kern w:val="44"/>
      <w:sz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ind w:firstLine="2520" w:firstLineChars="300"/>
      <w:outlineLvl w:val="1"/>
    </w:pPr>
    <w:rPr>
      <w:rFonts w:ascii="Arial" w:hAnsi="Arial" w:eastAsia="黑体" w:cs="Times New Roman"/>
      <w:b/>
      <w:sz w:val="32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240" w:lineRule="auto"/>
      <w:ind w:firstLine="3360" w:firstLineChars="400"/>
      <w:outlineLvl w:val="2"/>
    </w:pPr>
    <w:rPr>
      <w:rFonts w:ascii="Calibri" w:hAnsi="Calibri" w:eastAsia="宋体" w:cs="Times New Roman"/>
      <w:b/>
      <w:sz w:val="32"/>
      <w:szCs w:val="2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firstLine="3360" w:firstLineChars="400"/>
    </w:pPr>
    <w:rPr>
      <w:rFonts w:ascii="Calibri" w:hAnsi="Calibri" w:eastAsia="仿宋" w:cs="Times New Roman"/>
      <w:sz w:val="30"/>
      <w:szCs w:val="22"/>
    </w:rPr>
  </w:style>
  <w:style w:type="paragraph" w:styleId="6">
    <w:name w:val="toc 2"/>
    <w:basedOn w:val="1"/>
    <w:next w:val="1"/>
    <w:uiPriority w:val="0"/>
    <w:pPr>
      <w:ind w:left="420" w:leftChars="200" w:firstLine="840" w:firstLineChars="100"/>
    </w:pPr>
    <w:rPr>
      <w:rFonts w:ascii="Calibri" w:hAnsi="Calibri" w:eastAsia="仿宋" w:cs="Times New Roman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2023-03-31T03:32:00Z</dcterms:created>
  <dc:creator>Administrator</dc:creator>
  <cp:lastModifiedBy>Administrator</cp:lastModifiedBy>
  <dcterms:modified xsi:type="dcterms:W3CDTF">2023-03-31T03:34:47Z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89EA2B0847684252B58B4EBC82100630</vt:lpwstr>
  </property>
</Properties>
</file>