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b/>
          <w:bCs/>
          <w:sz w:val="32"/>
          <w:szCs w:val="32"/>
          <w:lang w:eastAsia="zh-CN"/>
        </w:rPr>
        <w:t>附件</w:t>
      </w:r>
    </w:p>
    <w:p>
      <w:pPr>
        <w:spacing w:line="660" w:lineRule="exact"/>
        <w:ind w:firstLine="883" w:firstLineChars="200"/>
        <w:jc w:val="center"/>
        <w:rPr>
          <w:rFonts w:ascii="Times New Roman" w:hAnsi="Times New Roman" w:eastAsia="方正仿宋简体"/>
          <w:b/>
          <w:bCs/>
          <w:sz w:val="44"/>
          <w:szCs w:val="44"/>
        </w:rPr>
      </w:pPr>
    </w:p>
    <w:p>
      <w:pPr>
        <w:spacing w:line="660" w:lineRule="exact"/>
        <w:ind w:firstLine="883" w:firstLineChars="200"/>
        <w:jc w:val="center"/>
        <w:rPr>
          <w:rFonts w:ascii="Times New Roman" w:hAnsi="Times New Roman" w:eastAsia="方正仿宋简体"/>
          <w:b/>
          <w:bCs/>
          <w:sz w:val="44"/>
          <w:szCs w:val="44"/>
        </w:rPr>
      </w:pPr>
    </w:p>
    <w:p>
      <w:pPr>
        <w:spacing w:line="660" w:lineRule="exact"/>
        <w:ind w:firstLine="883" w:firstLineChars="200"/>
        <w:jc w:val="center"/>
        <w:rPr>
          <w:rFonts w:ascii="Times New Roman" w:hAnsi="Times New Roman" w:eastAsia="方正仿宋简体"/>
          <w:b/>
          <w:bCs/>
          <w:sz w:val="44"/>
          <w:szCs w:val="44"/>
        </w:rPr>
      </w:pPr>
    </w:p>
    <w:p>
      <w:pPr>
        <w:pStyle w:val="2"/>
        <w:rPr>
          <w:rFonts w:ascii="Times New Roman" w:hAnsi="Times New Roman" w:eastAsia="方正仿宋简体"/>
          <w:b/>
          <w:bCs/>
          <w:sz w:val="44"/>
          <w:szCs w:val="44"/>
        </w:rPr>
      </w:pPr>
      <w:bookmarkStart w:id="0" w:name="_GoBack"/>
      <w:bookmarkEnd w:id="0"/>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方正仿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217" w:firstLineChars="68"/>
        <w:jc w:val="center"/>
        <w:textAlignment w:val="auto"/>
        <w:rPr>
          <w:rFonts w:hint="default" w:ascii="Times New Roman" w:hAnsi="Times New Roman" w:eastAsia="方正仿宋简体" w:cs="Times New Roman"/>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default" w:ascii="Times New Roman" w:hAnsi="Times New Roman" w:eastAsia="方正仿宋简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rPr>
        <w:t>泉州市鲤城区城市管理局关于</w:t>
      </w:r>
      <w:r>
        <w:rPr>
          <w:rFonts w:hint="default" w:ascii="Times New Roman" w:hAnsi="Times New Roman" w:eastAsia="方正小标宋简体" w:cs="Times New Roman"/>
          <w:spacing w:val="-20"/>
          <w:sz w:val="44"/>
          <w:szCs w:val="44"/>
          <w:lang w:eastAsia="zh-CN"/>
        </w:rPr>
        <w:t>公布</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lang w:val="en-US" w:eastAsia="zh-CN"/>
        </w:rPr>
        <w:t>2023</w:t>
      </w:r>
      <w:r>
        <w:rPr>
          <w:rFonts w:hint="eastAsia" w:eastAsia="方正小标宋简体" w:cs="Times New Roman"/>
          <w:spacing w:val="-20"/>
          <w:sz w:val="44"/>
          <w:szCs w:val="44"/>
          <w:lang w:val="en-US" w:eastAsia="zh-CN"/>
        </w:rPr>
        <w:t>年度</w:t>
      </w:r>
      <w:r>
        <w:rPr>
          <w:rFonts w:hint="default" w:ascii="Times New Roman" w:hAnsi="Times New Roman" w:eastAsia="方正小标宋简体" w:cs="Times New Roman"/>
          <w:spacing w:val="-20"/>
          <w:sz w:val="44"/>
          <w:szCs w:val="44"/>
          <w:lang w:val="en-US" w:eastAsia="zh-CN"/>
        </w:rPr>
        <w:t>行政规范性文件清理结果</w:t>
      </w:r>
      <w:r>
        <w:rPr>
          <w:rFonts w:hint="default" w:ascii="Times New Roman" w:hAnsi="Times New Roman" w:eastAsia="方正小标宋简体" w:cs="Times New Roman"/>
          <w:spacing w:val="-20"/>
          <w:sz w:val="44"/>
          <w:szCs w:val="44"/>
        </w:rPr>
        <w:t>的</w:t>
      </w:r>
      <w:r>
        <w:rPr>
          <w:rFonts w:hint="default" w:ascii="Times New Roman" w:hAnsi="Times New Roman" w:eastAsia="方正小标宋简体" w:cs="Times New Roman"/>
          <w:spacing w:val="-20"/>
          <w:sz w:val="44"/>
          <w:szCs w:val="44"/>
          <w:lang w:eastAsia="zh-CN"/>
        </w:rPr>
        <w:t>通知</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spacing w:val="-20"/>
          <w:sz w:val="44"/>
          <w:szCs w:val="44"/>
          <w:lang w:eastAsia="zh-CN"/>
        </w:rPr>
      </w:pPr>
      <w:r>
        <w:rPr>
          <w:rFonts w:hint="eastAsia" w:eastAsia="方正小标宋简体" w:cs="Times New Roman"/>
          <w:spacing w:val="-20"/>
          <w:sz w:val="44"/>
          <w:szCs w:val="44"/>
          <w:lang w:eastAsia="zh-CN"/>
        </w:rPr>
        <w:t>（征求意见稿）</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简体" w:cs="Times New Roman"/>
          <w:spacing w:val="1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简体" w:cs="Times New Roman"/>
          <w:spacing w:val="10"/>
          <w:sz w:val="32"/>
          <w:szCs w:val="32"/>
        </w:rPr>
      </w:pPr>
      <w:r>
        <w:rPr>
          <w:rFonts w:hint="default" w:ascii="Times New Roman" w:hAnsi="Times New Roman" w:eastAsia="方正仿宋简体" w:cs="Times New Roman"/>
          <w:sz w:val="32"/>
          <w:szCs w:val="32"/>
        </w:rPr>
        <w:t>局机关各股室，</w:t>
      </w:r>
      <w:r>
        <w:rPr>
          <w:rFonts w:hint="default" w:ascii="Times New Roman" w:hAnsi="Times New Roman" w:eastAsia="方正仿宋简体" w:cs="Times New Roman"/>
          <w:sz w:val="32"/>
          <w:szCs w:val="32"/>
          <w:lang w:eastAsia="zh-CN"/>
        </w:rPr>
        <w:t>下属事业单位</w:t>
      </w:r>
      <w:r>
        <w:rPr>
          <w:rFonts w:hint="eastAsia" w:eastAsia="方正仿宋简体" w:cs="Times New Roman"/>
          <w:sz w:val="32"/>
          <w:szCs w:val="32"/>
          <w:lang w:eastAsia="zh-CN"/>
        </w:rPr>
        <w:t>，各执法中队</w:t>
      </w:r>
      <w:r>
        <w:rPr>
          <w:rFonts w:hint="default" w:ascii="Times New Roman" w:hAnsi="Times New Roman" w:eastAsia="方正仿宋简体" w:cs="Times New Roman"/>
          <w:spacing w:val="10"/>
          <w:sz w:val="32"/>
          <w:szCs w:val="32"/>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根据《</w:t>
      </w:r>
      <w:r>
        <w:rPr>
          <w:rFonts w:hint="default" w:ascii="Times New Roman" w:hAnsi="Times New Roman" w:eastAsia="方正仿宋简体" w:cs="Times New Roman"/>
          <w:sz w:val="32"/>
          <w:szCs w:val="32"/>
          <w:lang w:eastAsia="zh-CN"/>
        </w:rPr>
        <w:t>泉州市人民政府关印发泉州市行政机关规范性文件管理规定</w:t>
      </w:r>
      <w:r>
        <w:rPr>
          <w:rFonts w:hint="default" w:ascii="Times New Roman" w:hAnsi="Times New Roman" w:eastAsia="方正仿宋简体" w:cs="Times New Roman"/>
          <w:sz w:val="32"/>
          <w:szCs w:val="32"/>
        </w:rPr>
        <w:t>的通知》（泉</w:t>
      </w:r>
      <w:r>
        <w:rPr>
          <w:rFonts w:hint="default" w:ascii="Times New Roman" w:hAnsi="Times New Roman" w:eastAsia="方正仿宋简体" w:cs="Times New Roman"/>
          <w:sz w:val="32"/>
          <w:szCs w:val="32"/>
          <w:lang w:eastAsia="zh-CN"/>
        </w:rPr>
        <w:t>政规</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022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号）</w:t>
      </w:r>
      <w:r>
        <w:rPr>
          <w:rFonts w:hint="default" w:ascii="Times New Roman" w:hAnsi="Times New Roman" w:eastAsia="方正仿宋简体" w:cs="Times New Roman"/>
          <w:sz w:val="32"/>
          <w:szCs w:val="32"/>
          <w:lang w:eastAsia="zh-CN"/>
        </w:rPr>
        <w:t>有关规定</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我局对</w:t>
      </w:r>
      <w:r>
        <w:rPr>
          <w:rFonts w:hint="default" w:ascii="Times New Roman" w:hAnsi="Times New Roman" w:eastAsia="方正仿宋简体" w:cs="Times New Roman"/>
          <w:sz w:val="32"/>
          <w:szCs w:val="32"/>
          <w:lang w:val="en-US" w:eastAsia="zh-CN"/>
        </w:rPr>
        <w:t>以鲤城区城市管理局及鲤城区城市管理委员会办公室名义发布的现行有效规范性文件进行清理</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现将清理结果</w:t>
      </w:r>
      <w:r>
        <w:rPr>
          <w:rFonts w:hint="eastAsia" w:eastAsia="方正仿宋简体" w:cs="Times New Roman"/>
          <w:sz w:val="32"/>
          <w:szCs w:val="32"/>
          <w:lang w:val="en-US" w:eastAsia="zh-CN"/>
        </w:rPr>
        <w:t>公布</w:t>
      </w:r>
      <w:r>
        <w:rPr>
          <w:rFonts w:hint="default" w:ascii="Times New Roman" w:hAnsi="Times New Roman" w:eastAsia="方正仿宋简体" w:cs="Times New Roman"/>
          <w:sz w:val="32"/>
          <w:szCs w:val="32"/>
          <w:lang w:val="en-US" w:eastAsia="zh-CN"/>
        </w:rPr>
        <w:t>如下：</w:t>
      </w:r>
    </w:p>
    <w:p>
      <w:pPr>
        <w:keepNext w:val="0"/>
        <w:keepLines w:val="0"/>
        <w:pageBreakBefore w:val="0"/>
        <w:widowControl w:val="0"/>
        <w:numPr>
          <w:ilvl w:val="0"/>
          <w:numId w:val="1"/>
        </w:numPr>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现行有效行政规范性文件5件（详见附件1）。</w:t>
      </w:r>
    </w:p>
    <w:p>
      <w:pPr>
        <w:keepNext w:val="0"/>
        <w:keepLines w:val="0"/>
        <w:pageBreakBefore w:val="0"/>
        <w:widowControl w:val="0"/>
        <w:numPr>
          <w:ilvl w:val="0"/>
          <w:numId w:val="1"/>
        </w:numPr>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宣布</w:t>
      </w:r>
      <w:r>
        <w:rPr>
          <w:rFonts w:hint="default" w:ascii="Times New Roman" w:hAnsi="Times New Roman" w:eastAsia="方正仿宋简体" w:cs="Times New Roman"/>
          <w:sz w:val="32"/>
          <w:szCs w:val="32"/>
          <w:lang w:val="en-US" w:eastAsia="zh-CN"/>
        </w:rPr>
        <w:t>失效的行政规范性文件1件（详见附件2）。</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lang w:eastAsia="zh-CN"/>
        </w:rPr>
      </w:pPr>
      <w:r>
        <w:rPr>
          <w:rFonts w:hint="default" w:ascii="Times New Roman" w:hAnsi="Times New Roman" w:eastAsia="方正仿宋简体" w:cs="Times New Roman"/>
          <w:color w:val="000000"/>
          <w:kern w:val="0"/>
          <w:sz w:val="32"/>
          <w:szCs w:val="32"/>
          <w:lang w:eastAsia="zh-CN"/>
        </w:rPr>
        <w:t>宣布失效的规范性文件，自本通知公布之日起不再执行，不得作为行政管理依据。</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仿宋简体" w:cs="Times New Roman"/>
          <w:color w:val="000000"/>
          <w:kern w:val="0"/>
          <w:sz w:val="32"/>
          <w:szCs w:val="32"/>
          <w:lang w:val="en-US" w:eastAsia="zh-CN"/>
        </w:rPr>
        <w:t>1.</w:t>
      </w:r>
      <w:r>
        <w:rPr>
          <w:rFonts w:hint="default" w:ascii="Times New Roman" w:hAnsi="Times New Roman" w:eastAsia="方正仿宋简体" w:cs="Times New Roman"/>
          <w:sz w:val="32"/>
          <w:szCs w:val="32"/>
          <w:lang w:val="en-US" w:eastAsia="zh-CN"/>
        </w:rPr>
        <w:t>现行有效行政规范性文件目录</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2.宣布失效的行政规范性文件目录</w:t>
      </w:r>
    </w:p>
    <w:p>
      <w:pPr>
        <w:keepNext w:val="0"/>
        <w:keepLines w:val="0"/>
        <w:pageBreakBefore w:val="0"/>
        <w:widowControl w:val="0"/>
        <w:kinsoku/>
        <w:wordWrap/>
        <w:overflowPunct/>
        <w:topLinePunct w:val="0"/>
        <w:autoSpaceDE/>
        <w:autoSpaceDN/>
        <w:bidi w:val="0"/>
        <w:snapToGrid/>
        <w:spacing w:line="600" w:lineRule="exact"/>
        <w:ind w:right="640" w:firstLine="66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snapToGrid/>
        <w:spacing w:line="600" w:lineRule="exact"/>
        <w:ind w:right="640" w:firstLine="66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snapToGrid/>
        <w:spacing w:line="600" w:lineRule="exact"/>
        <w:ind w:right="640" w:firstLine="660"/>
        <w:jc w:val="center"/>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泉州市鲤城区城市管理局</w:t>
      </w:r>
    </w:p>
    <w:p>
      <w:pPr>
        <w:keepNext w:val="0"/>
        <w:keepLines w:val="0"/>
        <w:pageBreakBefore w:val="0"/>
        <w:widowControl w:val="0"/>
        <w:kinsoku/>
        <w:wordWrap/>
        <w:overflowPunct/>
        <w:topLinePunct w:val="0"/>
        <w:autoSpaceDE/>
        <w:autoSpaceDN/>
        <w:bidi w:val="0"/>
        <w:snapToGrid/>
        <w:spacing w:line="600" w:lineRule="exact"/>
        <w:ind w:right="640" w:firstLine="66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2</w:t>
      </w:r>
      <w:r>
        <w:rPr>
          <w:rFonts w:hint="eastAsia" w:eastAsia="方正仿宋简体" w:cs="Times New Roman"/>
          <w:sz w:val="32"/>
          <w:szCs w:val="32"/>
          <w:lang w:val="en-US" w:eastAsia="zh-CN"/>
        </w:rPr>
        <w:t>023</w:t>
      </w:r>
      <w:r>
        <w:rPr>
          <w:rFonts w:hint="default" w:ascii="Times New Roman" w:hAnsi="Times New Roman" w:eastAsia="方正仿宋简体" w:cs="Times New Roman"/>
          <w:sz w:val="32"/>
          <w:szCs w:val="32"/>
        </w:rPr>
        <w:t>年</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月</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日</w:t>
      </w:r>
    </w:p>
    <w:p>
      <w:pPr>
        <w:keepNext w:val="0"/>
        <w:keepLines w:val="0"/>
        <w:pageBreakBefore w:val="0"/>
        <w:widowControl w:val="0"/>
        <w:kinsoku/>
        <w:wordWrap/>
        <w:overflowPunct/>
        <w:topLinePunct w:val="0"/>
        <w:autoSpaceDE/>
        <w:autoSpaceDN/>
        <w:bidi w:val="0"/>
        <w:snapToGrid/>
        <w:spacing w:line="600" w:lineRule="exact"/>
        <w:ind w:right="640" w:firstLine="320" w:firstLineChars="100"/>
        <w:jc w:val="both"/>
        <w:textAlignment w:val="auto"/>
        <w:rPr>
          <w:rFonts w:hint="default" w:eastAsia="方正仿宋简体" w:cs="方正仿宋简体"/>
          <w:spacing w:val="10"/>
          <w:sz w:val="32"/>
          <w:szCs w:val="32"/>
          <w:lang w:val="en-US" w:eastAsia="zh-CN"/>
        </w:rPr>
      </w:pPr>
      <w:r>
        <w:rPr>
          <w:rFonts w:hint="eastAsia" w:eastAsia="方正仿宋简体" w:cs="Times New Roman"/>
          <w:sz w:val="32"/>
          <w:szCs w:val="32"/>
          <w:lang w:val="en-US" w:eastAsia="zh-CN"/>
        </w:rPr>
        <w:t xml:space="preserve"> </w:t>
      </w:r>
      <w:r>
        <w:rPr>
          <w:rFonts w:hint="eastAsia" w:eastAsia="方正仿宋简体" w:cs="方正仿宋简体"/>
          <w:spacing w:val="10"/>
          <w:sz w:val="32"/>
          <w:szCs w:val="32"/>
          <w:lang w:val="en-US" w:eastAsia="zh-CN"/>
        </w:rPr>
        <w:t>（此件主动公开）</w:t>
      </w: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6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6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6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500" w:lineRule="exact"/>
        <w:rPr>
          <w:rFonts w:hint="eastAsia" w:ascii="黑体" w:hAnsi="黑体" w:eastAsia="黑体" w:cs="黑体"/>
          <w:sz w:val="32"/>
          <w:szCs w:val="32"/>
          <w:lang w:eastAsia="zh-CN"/>
        </w:rPr>
      </w:pPr>
    </w:p>
    <w:p>
      <w:pPr>
        <w:spacing w:line="50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hint="default" w:ascii="方正仿宋简体" w:hAnsi="仿宋" w:eastAsia="方正仿宋简体" w:cs="方正仿宋简体"/>
          <w:sz w:val="44"/>
          <w:szCs w:val="44"/>
          <w:lang w:val="en-US" w:eastAsia="zh-CN"/>
        </w:rPr>
      </w:pPr>
      <w:r>
        <w:rPr>
          <w:rFonts w:hint="eastAsia" w:ascii="方正小标宋简体" w:hAnsi="仿宋" w:eastAsia="方正小标宋简体" w:cs="方正小标宋简体"/>
          <w:spacing w:val="-20"/>
          <w:sz w:val="44"/>
          <w:szCs w:val="44"/>
          <w:lang w:val="en-US" w:eastAsia="zh-CN"/>
        </w:rPr>
        <w:t>现行有效行政规范性文件目录（5件）</w:t>
      </w:r>
    </w:p>
    <w:tbl>
      <w:tblPr>
        <w:tblStyle w:val="6"/>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517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numPr>
                <w:ilvl w:val="0"/>
                <w:numId w:val="0"/>
              </w:numPr>
              <w:spacing w:line="500" w:lineRule="exact"/>
              <w:jc w:val="center"/>
              <w:rPr>
                <w:rFonts w:hint="default" w:ascii="方正仿宋简体" w:hAnsi="仿宋" w:eastAsia="方正仿宋简体" w:cs="方正仿宋简体"/>
                <w:sz w:val="32"/>
                <w:szCs w:val="32"/>
                <w:vertAlign w:val="baseline"/>
                <w:lang w:val="en-US" w:eastAsia="zh-CN"/>
              </w:rPr>
            </w:pPr>
            <w:r>
              <w:rPr>
                <w:rFonts w:hint="eastAsia" w:ascii="方正仿宋简体" w:hAnsi="仿宋" w:eastAsia="方正仿宋简体" w:cs="方正仿宋简体"/>
                <w:sz w:val="32"/>
                <w:szCs w:val="32"/>
                <w:vertAlign w:val="baseline"/>
                <w:lang w:val="en-US" w:eastAsia="zh-CN"/>
              </w:rPr>
              <w:t>序号</w:t>
            </w:r>
          </w:p>
        </w:tc>
        <w:tc>
          <w:tcPr>
            <w:tcW w:w="5175" w:type="dxa"/>
          </w:tcPr>
          <w:p>
            <w:pPr>
              <w:numPr>
                <w:ilvl w:val="0"/>
                <w:numId w:val="0"/>
              </w:numPr>
              <w:spacing w:line="500" w:lineRule="exact"/>
              <w:jc w:val="center"/>
              <w:rPr>
                <w:rFonts w:hint="default" w:ascii="方正仿宋简体" w:hAnsi="仿宋" w:eastAsia="方正仿宋简体" w:cs="方正仿宋简体"/>
                <w:sz w:val="32"/>
                <w:szCs w:val="32"/>
                <w:vertAlign w:val="baseline"/>
                <w:lang w:val="en-US" w:eastAsia="zh-CN"/>
              </w:rPr>
            </w:pPr>
            <w:r>
              <w:rPr>
                <w:rFonts w:hint="eastAsia" w:ascii="方正仿宋简体" w:hAnsi="仿宋" w:eastAsia="方正仿宋简体" w:cs="方正仿宋简体"/>
                <w:sz w:val="32"/>
                <w:szCs w:val="32"/>
                <w:vertAlign w:val="baseline"/>
                <w:lang w:val="en-US" w:eastAsia="zh-CN"/>
              </w:rPr>
              <w:t>规范性文件名称</w:t>
            </w:r>
          </w:p>
        </w:tc>
        <w:tc>
          <w:tcPr>
            <w:tcW w:w="2850" w:type="dxa"/>
          </w:tcPr>
          <w:p>
            <w:pPr>
              <w:numPr>
                <w:ilvl w:val="0"/>
                <w:numId w:val="0"/>
              </w:numPr>
              <w:spacing w:line="500" w:lineRule="exact"/>
              <w:jc w:val="center"/>
              <w:rPr>
                <w:rFonts w:hint="default" w:ascii="方正仿宋简体" w:hAnsi="仿宋" w:eastAsia="方正仿宋简体" w:cs="方正仿宋简体"/>
                <w:sz w:val="32"/>
                <w:szCs w:val="32"/>
                <w:vertAlign w:val="baseline"/>
                <w:lang w:val="en-US" w:eastAsia="zh-CN"/>
              </w:rPr>
            </w:pPr>
            <w:r>
              <w:rPr>
                <w:rFonts w:hint="eastAsia" w:ascii="方正仿宋简体" w:hAnsi="仿宋" w:eastAsia="方正仿宋简体" w:cs="方正仿宋简体"/>
                <w:sz w:val="32"/>
                <w:szCs w:val="32"/>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numPr>
                <w:ilvl w:val="0"/>
                <w:numId w:val="0"/>
              </w:numPr>
              <w:spacing w:line="500" w:lineRule="exact"/>
              <w:jc w:val="center"/>
              <w:rPr>
                <w:rFonts w:hint="default" w:ascii="方正仿宋简体" w:hAnsi="仿宋" w:eastAsia="方正仿宋简体" w:cs="方正仿宋简体"/>
                <w:sz w:val="32"/>
                <w:szCs w:val="32"/>
                <w:vertAlign w:val="baseline"/>
                <w:lang w:val="en-US" w:eastAsia="zh-CN"/>
              </w:rPr>
            </w:pPr>
            <w:r>
              <w:rPr>
                <w:rFonts w:hint="eastAsia" w:ascii="方正仿宋简体" w:hAnsi="仿宋" w:eastAsia="方正仿宋简体" w:cs="方正仿宋简体"/>
                <w:sz w:val="32"/>
                <w:szCs w:val="32"/>
                <w:vertAlign w:val="baseline"/>
                <w:lang w:val="en-US" w:eastAsia="zh-CN"/>
              </w:rPr>
              <w:t>1</w:t>
            </w:r>
          </w:p>
        </w:tc>
        <w:tc>
          <w:tcPr>
            <w:tcW w:w="5175" w:type="dxa"/>
          </w:tcPr>
          <w:p>
            <w:pPr>
              <w:numPr>
                <w:ilvl w:val="0"/>
                <w:numId w:val="0"/>
              </w:numPr>
              <w:spacing w:line="500" w:lineRule="exact"/>
              <w:jc w:val="center"/>
              <w:rPr>
                <w:rFonts w:hint="eastAsia" w:ascii="方正仿宋简体" w:hAnsi="仿宋" w:eastAsia="方正仿宋简体" w:cs="方正仿宋简体"/>
                <w:sz w:val="32"/>
                <w:szCs w:val="32"/>
                <w:vertAlign w:val="baseline"/>
                <w:lang w:val="en-US" w:eastAsia="zh-CN"/>
              </w:rPr>
            </w:pPr>
            <w:r>
              <w:rPr>
                <w:rFonts w:hint="eastAsia" w:eastAsia="方正仿宋简体" w:cs="方正仿宋简体"/>
                <w:spacing w:val="10"/>
                <w:sz w:val="32"/>
                <w:szCs w:val="32"/>
                <w:lang w:val="en-US" w:eastAsia="zh-CN"/>
              </w:rPr>
              <w:t>泉州市鲤城区城市管理局关于印发《鲤城区</w:t>
            </w:r>
            <w:r>
              <w:rPr>
                <w:rFonts w:hint="eastAsia" w:eastAsia="方正仿宋简体" w:cs="方正仿宋简体"/>
                <w:spacing w:val="10"/>
                <w:sz w:val="32"/>
                <w:szCs w:val="32"/>
                <w:lang w:eastAsia="zh-CN"/>
              </w:rPr>
              <w:t>城市管理行政处罚裁量细化标准（试行）的通知</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snapToGrid w:val="0"/>
                <w:color w:val="000000"/>
                <w:spacing w:val="-28"/>
                <w:kern w:val="0"/>
                <w:sz w:val="32"/>
                <w:szCs w:val="32"/>
                <w:lang w:val="en-US" w:eastAsia="zh-CN"/>
              </w:rPr>
            </w:pPr>
            <w:r>
              <w:rPr>
                <w:rFonts w:hint="eastAsia" w:ascii="Times New Roman" w:hAnsi="Times New Roman" w:eastAsia="方正仿宋简体" w:cs="Times New Roman"/>
                <w:snapToGrid w:val="0"/>
                <w:color w:val="000000"/>
                <w:spacing w:val="-28"/>
                <w:kern w:val="0"/>
                <w:sz w:val="32"/>
                <w:szCs w:val="32"/>
                <w:lang w:eastAsia="zh-CN"/>
              </w:rPr>
              <w:t>泉鲤城管〔202</w:t>
            </w:r>
            <w:r>
              <w:rPr>
                <w:rFonts w:hint="eastAsia" w:ascii="Times New Roman" w:hAnsi="Times New Roman" w:eastAsia="方正仿宋简体" w:cs="Times New Roman"/>
                <w:snapToGrid w:val="0"/>
                <w:color w:val="000000"/>
                <w:spacing w:val="-28"/>
                <w:kern w:val="0"/>
                <w:sz w:val="32"/>
                <w:szCs w:val="32"/>
                <w:lang w:val="en-US" w:eastAsia="zh-CN"/>
              </w:rPr>
              <w:t>1</w:t>
            </w:r>
            <w:r>
              <w:rPr>
                <w:rFonts w:hint="eastAsia" w:ascii="Times New Roman" w:hAnsi="Times New Roman" w:eastAsia="方正仿宋简体" w:cs="Times New Roman"/>
                <w:snapToGrid w:val="0"/>
                <w:color w:val="000000"/>
                <w:spacing w:val="-28"/>
                <w:kern w:val="0"/>
                <w:sz w:val="32"/>
                <w:szCs w:val="32"/>
                <w:lang w:eastAsia="zh-CN"/>
              </w:rPr>
              <w:t>〕</w:t>
            </w:r>
            <w:r>
              <w:rPr>
                <w:rFonts w:hint="eastAsia" w:ascii="Times New Roman" w:hAnsi="Times New Roman" w:eastAsia="方正仿宋简体" w:cs="Times New Roman"/>
                <w:snapToGrid w:val="0"/>
                <w:color w:val="000000"/>
                <w:spacing w:val="-28"/>
                <w:kern w:val="0"/>
                <w:sz w:val="32"/>
                <w:szCs w:val="32"/>
                <w:lang w:val="en-US" w:eastAsia="zh-CN"/>
              </w:rPr>
              <w:t>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eastAsia" w:eastAsia="方正仿宋简体" w:cs="Times New Roman"/>
                <w:snapToGrid w:val="0"/>
                <w:color w:val="000000"/>
                <w:kern w:val="0"/>
                <w:sz w:val="32"/>
                <w:szCs w:val="32"/>
                <w:lang w:val="en-US" w:eastAsia="zh-CN"/>
              </w:rPr>
              <w:t>2</w:t>
            </w:r>
          </w:p>
        </w:tc>
        <w:tc>
          <w:tcPr>
            <w:tcW w:w="51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eastAsia="zh-CN"/>
              </w:rPr>
              <w:t>泉州市鲤城区城市管理局关于印发《鲤城区城市管理行政执法程序规定》等十三项制度的通知</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spacing w:val="-28"/>
                <w:kern w:val="0"/>
                <w:sz w:val="32"/>
                <w:szCs w:val="32"/>
                <w:lang w:val="en-US" w:eastAsia="zh-CN"/>
              </w:rPr>
            </w:pPr>
            <w:r>
              <w:rPr>
                <w:rFonts w:hint="default" w:ascii="Times New Roman" w:hAnsi="Times New Roman" w:eastAsia="方正仿宋简体" w:cs="Times New Roman"/>
                <w:snapToGrid w:val="0"/>
                <w:color w:val="000000"/>
                <w:spacing w:val="-28"/>
                <w:kern w:val="0"/>
                <w:sz w:val="32"/>
                <w:szCs w:val="32"/>
                <w:lang w:eastAsia="zh-CN"/>
              </w:rPr>
              <w:t>泉鲤城管〔202</w:t>
            </w:r>
            <w:r>
              <w:rPr>
                <w:rFonts w:hint="default" w:ascii="Times New Roman" w:hAnsi="Times New Roman" w:eastAsia="方正仿宋简体" w:cs="Times New Roman"/>
                <w:snapToGrid w:val="0"/>
                <w:color w:val="000000"/>
                <w:spacing w:val="-28"/>
                <w:kern w:val="0"/>
                <w:sz w:val="32"/>
                <w:szCs w:val="32"/>
                <w:lang w:val="en-US" w:eastAsia="zh-CN"/>
              </w:rPr>
              <w:t>1</w:t>
            </w:r>
            <w:r>
              <w:rPr>
                <w:rFonts w:hint="default" w:ascii="Times New Roman" w:hAnsi="Times New Roman" w:eastAsia="方正仿宋简体" w:cs="Times New Roman"/>
                <w:snapToGrid w:val="0"/>
                <w:color w:val="000000"/>
                <w:spacing w:val="-28"/>
                <w:kern w:val="0"/>
                <w:sz w:val="32"/>
                <w:szCs w:val="32"/>
                <w:lang w:eastAsia="zh-CN"/>
              </w:rPr>
              <w:t>〕</w:t>
            </w:r>
            <w:r>
              <w:rPr>
                <w:rFonts w:hint="default" w:ascii="Times New Roman" w:hAnsi="Times New Roman" w:eastAsia="方正仿宋简体" w:cs="Times New Roman"/>
                <w:snapToGrid w:val="0"/>
                <w:color w:val="000000"/>
                <w:spacing w:val="-28"/>
                <w:kern w:val="0"/>
                <w:sz w:val="32"/>
                <w:szCs w:val="32"/>
                <w:lang w:val="en-US" w:eastAsia="zh-CN"/>
              </w:rPr>
              <w:t>91</w:t>
            </w:r>
            <w:r>
              <w:rPr>
                <w:rFonts w:hint="default" w:ascii="Times New Roman" w:hAnsi="Times New Roman" w:eastAsia="方正仿宋简体" w:cs="Times New Roman"/>
                <w:snapToGrid w:val="0"/>
                <w:color w:val="000000"/>
                <w:spacing w:val="-28"/>
                <w:kern w:val="0"/>
                <w:sz w:val="32"/>
                <w:szCs w:val="3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eastAsia" w:eastAsia="方正仿宋简体" w:cs="Times New Roman"/>
                <w:snapToGrid w:val="0"/>
                <w:color w:val="000000"/>
                <w:kern w:val="0"/>
                <w:sz w:val="32"/>
                <w:szCs w:val="32"/>
                <w:lang w:val="en-US" w:eastAsia="zh-CN"/>
              </w:rPr>
              <w:t>3</w:t>
            </w:r>
          </w:p>
        </w:tc>
        <w:tc>
          <w:tcPr>
            <w:tcW w:w="51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eastAsia="zh-CN"/>
              </w:rPr>
              <w:t>泉州市鲤城区城市管理局关于下放非工程建设涉及城市绿地、树木审批工作的通知</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spacing w:val="-28"/>
                <w:kern w:val="0"/>
                <w:sz w:val="32"/>
                <w:szCs w:val="32"/>
                <w:lang w:val="en-US" w:eastAsia="zh-CN"/>
              </w:rPr>
            </w:pPr>
            <w:r>
              <w:rPr>
                <w:rFonts w:hint="default" w:ascii="Times New Roman" w:hAnsi="Times New Roman" w:eastAsia="方正仿宋简体" w:cs="Times New Roman"/>
                <w:snapToGrid w:val="0"/>
                <w:color w:val="000000"/>
                <w:spacing w:val="-28"/>
                <w:kern w:val="0"/>
                <w:sz w:val="32"/>
                <w:szCs w:val="32"/>
                <w:lang w:eastAsia="zh-CN"/>
              </w:rPr>
              <w:t>泉鲤城管〔202</w:t>
            </w:r>
            <w:r>
              <w:rPr>
                <w:rFonts w:hint="default" w:ascii="Times New Roman" w:hAnsi="Times New Roman" w:eastAsia="方正仿宋简体" w:cs="Times New Roman"/>
                <w:snapToGrid w:val="0"/>
                <w:color w:val="000000"/>
                <w:spacing w:val="-28"/>
                <w:kern w:val="0"/>
                <w:sz w:val="32"/>
                <w:szCs w:val="32"/>
                <w:lang w:val="en-US" w:eastAsia="zh-CN"/>
              </w:rPr>
              <w:t>1</w:t>
            </w:r>
            <w:r>
              <w:rPr>
                <w:rFonts w:hint="default" w:ascii="Times New Roman" w:hAnsi="Times New Roman" w:eastAsia="方正仿宋简体" w:cs="Times New Roman"/>
                <w:snapToGrid w:val="0"/>
                <w:color w:val="000000"/>
                <w:spacing w:val="-28"/>
                <w:kern w:val="0"/>
                <w:sz w:val="32"/>
                <w:szCs w:val="32"/>
                <w:lang w:eastAsia="zh-CN"/>
              </w:rPr>
              <w:t>〕</w:t>
            </w:r>
            <w:r>
              <w:rPr>
                <w:rFonts w:hint="default" w:ascii="Times New Roman" w:hAnsi="Times New Roman" w:eastAsia="方正仿宋简体" w:cs="Times New Roman"/>
                <w:snapToGrid w:val="0"/>
                <w:color w:val="000000"/>
                <w:spacing w:val="-28"/>
                <w:kern w:val="0"/>
                <w:sz w:val="32"/>
                <w:szCs w:val="32"/>
                <w:lang w:val="en-US" w:eastAsia="zh-CN"/>
              </w:rPr>
              <w:t>96</w:t>
            </w:r>
            <w:r>
              <w:rPr>
                <w:rFonts w:hint="default" w:ascii="Times New Roman" w:hAnsi="Times New Roman" w:eastAsia="方正仿宋简体" w:cs="Times New Roman"/>
                <w:snapToGrid w:val="0"/>
                <w:color w:val="000000"/>
                <w:spacing w:val="-28"/>
                <w:kern w:val="0"/>
                <w:sz w:val="32"/>
                <w:szCs w:val="3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eastAsia" w:eastAsia="方正仿宋简体" w:cs="Times New Roman"/>
                <w:snapToGrid w:val="0"/>
                <w:color w:val="000000"/>
                <w:kern w:val="0"/>
                <w:sz w:val="32"/>
                <w:szCs w:val="32"/>
                <w:lang w:val="en-US" w:eastAsia="zh-CN"/>
              </w:rPr>
              <w:t>4</w:t>
            </w:r>
          </w:p>
        </w:tc>
        <w:tc>
          <w:tcPr>
            <w:tcW w:w="51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val="en-US" w:eastAsia="zh-CN"/>
              </w:rPr>
              <w:t>泉州市鲤城区城市管理局关于印发《不予行政处罚、从轻或减轻行政处罚事项的清单（市容和环境卫生管理方面）》的通知</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spacing w:val="-28"/>
                <w:kern w:val="0"/>
                <w:sz w:val="32"/>
                <w:szCs w:val="32"/>
                <w:lang w:val="en-US" w:eastAsia="zh-CN"/>
              </w:rPr>
            </w:pPr>
            <w:r>
              <w:rPr>
                <w:rFonts w:hint="default" w:ascii="Times New Roman" w:hAnsi="Times New Roman" w:eastAsia="方正仿宋简体" w:cs="Times New Roman"/>
                <w:snapToGrid w:val="0"/>
                <w:color w:val="000000"/>
                <w:spacing w:val="-28"/>
                <w:kern w:val="0"/>
                <w:sz w:val="32"/>
                <w:szCs w:val="32"/>
                <w:lang w:eastAsia="zh-CN"/>
              </w:rPr>
              <w:t>泉鲤城管〔202</w:t>
            </w:r>
            <w:r>
              <w:rPr>
                <w:rFonts w:hint="default" w:ascii="Times New Roman" w:hAnsi="Times New Roman" w:eastAsia="方正仿宋简体" w:cs="Times New Roman"/>
                <w:snapToGrid w:val="0"/>
                <w:color w:val="000000"/>
                <w:spacing w:val="-28"/>
                <w:kern w:val="0"/>
                <w:sz w:val="32"/>
                <w:szCs w:val="32"/>
                <w:lang w:val="en-US" w:eastAsia="zh-CN"/>
              </w:rPr>
              <w:t>1</w:t>
            </w:r>
            <w:r>
              <w:rPr>
                <w:rFonts w:hint="default" w:ascii="Times New Roman" w:hAnsi="Times New Roman" w:eastAsia="方正仿宋简体" w:cs="Times New Roman"/>
                <w:snapToGrid w:val="0"/>
                <w:color w:val="000000"/>
                <w:spacing w:val="-28"/>
                <w:kern w:val="0"/>
                <w:sz w:val="32"/>
                <w:szCs w:val="32"/>
                <w:lang w:eastAsia="zh-CN"/>
              </w:rPr>
              <w:t>〕</w:t>
            </w:r>
            <w:r>
              <w:rPr>
                <w:rFonts w:hint="default" w:ascii="Times New Roman" w:hAnsi="Times New Roman" w:eastAsia="方正仿宋简体" w:cs="Times New Roman"/>
                <w:snapToGrid w:val="0"/>
                <w:color w:val="000000"/>
                <w:spacing w:val="-28"/>
                <w:kern w:val="0"/>
                <w:sz w:val="32"/>
                <w:szCs w:val="32"/>
                <w:lang w:val="en-US" w:eastAsia="zh-CN"/>
              </w:rPr>
              <w:t>101</w:t>
            </w:r>
            <w:r>
              <w:rPr>
                <w:rFonts w:hint="default" w:ascii="Times New Roman" w:hAnsi="Times New Roman" w:eastAsia="方正仿宋简体" w:cs="Times New Roman"/>
                <w:snapToGrid w:val="0"/>
                <w:color w:val="000000"/>
                <w:spacing w:val="-28"/>
                <w:kern w:val="0"/>
                <w:sz w:val="32"/>
                <w:szCs w:val="3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eastAsia" w:eastAsia="方正仿宋简体" w:cs="Times New Roman"/>
                <w:snapToGrid w:val="0"/>
                <w:color w:val="000000"/>
                <w:kern w:val="0"/>
                <w:sz w:val="32"/>
                <w:szCs w:val="32"/>
                <w:lang w:val="en-US" w:eastAsia="zh-CN"/>
              </w:rPr>
              <w:t>5</w:t>
            </w:r>
          </w:p>
        </w:tc>
        <w:tc>
          <w:tcPr>
            <w:tcW w:w="51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val="en-US" w:eastAsia="zh-CN"/>
              </w:rPr>
              <w:t>泉州市鲤城区城市管理局关于印发《</w:t>
            </w:r>
            <w:r>
              <w:rPr>
                <w:rFonts w:hint="default" w:ascii="Times New Roman" w:hAnsi="Times New Roman" w:eastAsia="方正仿宋简体" w:cs="Times New Roman"/>
                <w:snapToGrid w:val="0"/>
                <w:color w:val="000000"/>
                <w:kern w:val="0"/>
                <w:sz w:val="32"/>
                <w:szCs w:val="32"/>
                <w:lang w:eastAsia="zh-CN"/>
              </w:rPr>
              <w:t>鲤城区排水许可专项整治行动方案》的通知</w:t>
            </w:r>
          </w:p>
        </w:tc>
        <w:tc>
          <w:tcPr>
            <w:tcW w:w="285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320" w:hanging="264" w:hangingChars="100"/>
              <w:jc w:val="center"/>
              <w:textAlignment w:val="auto"/>
              <w:rPr>
                <w:rFonts w:hint="default" w:ascii="Times New Roman" w:hAnsi="Times New Roman" w:eastAsia="方正仿宋简体" w:cs="Times New Roman"/>
                <w:snapToGrid w:val="0"/>
                <w:color w:val="000000"/>
                <w:spacing w:val="-28"/>
                <w:kern w:val="0"/>
                <w:sz w:val="32"/>
                <w:szCs w:val="32"/>
                <w:lang w:val="en-US" w:eastAsia="zh-CN"/>
              </w:rPr>
            </w:pPr>
            <w:r>
              <w:rPr>
                <w:rFonts w:hint="default" w:ascii="Times New Roman" w:hAnsi="Times New Roman" w:eastAsia="方正仿宋简体" w:cs="Times New Roman"/>
                <w:snapToGrid w:val="0"/>
                <w:color w:val="000000"/>
                <w:spacing w:val="-28"/>
                <w:kern w:val="0"/>
                <w:sz w:val="32"/>
                <w:szCs w:val="32"/>
                <w:lang w:eastAsia="zh-CN"/>
              </w:rPr>
              <w:t>泉鲤城管规</w:t>
            </w:r>
            <w:r>
              <w:rPr>
                <w:rFonts w:hint="default" w:ascii="Times New Roman" w:hAnsi="Times New Roman" w:eastAsia="方正仿宋简体" w:cs="Times New Roman"/>
                <w:snapToGrid w:val="0"/>
                <w:color w:val="000000"/>
                <w:spacing w:val="-28"/>
                <w:kern w:val="0"/>
                <w:sz w:val="32"/>
                <w:szCs w:val="32"/>
                <w:lang w:val="en-US" w:eastAsia="zh-CN"/>
              </w:rPr>
              <w:t>〔2022〕</w:t>
            </w:r>
            <w:r>
              <w:rPr>
                <w:rFonts w:hint="eastAsia" w:eastAsia="方正仿宋简体" w:cs="Times New Roman"/>
                <w:snapToGrid w:val="0"/>
                <w:color w:val="000000"/>
                <w:spacing w:val="-28"/>
                <w:kern w:val="0"/>
                <w:sz w:val="32"/>
                <w:szCs w:val="32"/>
                <w:lang w:val="en-US" w:eastAsia="zh-CN"/>
              </w:rPr>
              <w:t xml:space="preserve">  </w:t>
            </w:r>
            <w:r>
              <w:rPr>
                <w:rFonts w:hint="default" w:ascii="Times New Roman" w:hAnsi="Times New Roman" w:eastAsia="方正仿宋简体" w:cs="Times New Roman"/>
                <w:snapToGrid w:val="0"/>
                <w:color w:val="000000"/>
                <w:spacing w:val="-28"/>
                <w:kern w:val="0"/>
                <w:sz w:val="32"/>
                <w:szCs w:val="32"/>
                <w:lang w:val="en-US" w:eastAsia="zh-CN"/>
              </w:rPr>
              <w:t>1</w:t>
            </w:r>
            <w:r>
              <w:rPr>
                <w:rFonts w:hint="default" w:ascii="Times New Roman" w:hAnsi="Times New Roman" w:eastAsia="方正仿宋简体" w:cs="Times New Roman"/>
                <w:snapToGrid w:val="0"/>
                <w:color w:val="000000"/>
                <w:spacing w:val="-28"/>
                <w:kern w:val="0"/>
                <w:sz w:val="32"/>
                <w:szCs w:val="32"/>
                <w:lang w:eastAsia="zh-CN"/>
              </w:rPr>
              <w:t>号</w:t>
            </w:r>
          </w:p>
        </w:tc>
      </w:tr>
    </w:tbl>
    <w:p>
      <w:pPr>
        <w:numPr>
          <w:ilvl w:val="0"/>
          <w:numId w:val="0"/>
        </w:numPr>
        <w:spacing w:line="500" w:lineRule="exact"/>
        <w:jc w:val="center"/>
        <w:rPr>
          <w:rFonts w:hint="default" w:ascii="Times New Roman" w:hAnsi="Times New Roman" w:eastAsia="方正仿宋简体" w:cs="Times New Roman"/>
          <w:sz w:val="32"/>
          <w:szCs w:val="32"/>
          <w:lang w:val="en-US" w:eastAsia="zh-CN"/>
        </w:rPr>
      </w:pPr>
    </w:p>
    <w:p>
      <w:pPr>
        <w:numPr>
          <w:ilvl w:val="0"/>
          <w:numId w:val="0"/>
        </w:numPr>
        <w:spacing w:line="500" w:lineRule="exact"/>
        <w:rPr>
          <w:rFonts w:hint="default" w:ascii="Times New Roman" w:hAnsi="Times New Roman" w:eastAsia="方正仿宋简体" w:cs="Times New Roman"/>
          <w:sz w:val="32"/>
          <w:szCs w:val="32"/>
          <w:lang w:val="en-US" w:eastAsia="zh-CN"/>
        </w:rPr>
      </w:pPr>
    </w:p>
    <w:p>
      <w:pPr>
        <w:numPr>
          <w:ilvl w:val="0"/>
          <w:numId w:val="0"/>
        </w:numPr>
        <w:spacing w:line="500" w:lineRule="exact"/>
        <w:rPr>
          <w:rFonts w:hint="default" w:ascii="Times New Roman" w:hAnsi="Times New Roman" w:eastAsia="方正仿宋简体" w:cs="Times New Roman"/>
          <w:sz w:val="32"/>
          <w:szCs w:val="32"/>
          <w:lang w:val="en-US" w:eastAsia="zh-CN"/>
        </w:rPr>
      </w:pPr>
    </w:p>
    <w:p>
      <w:pPr>
        <w:numPr>
          <w:ilvl w:val="0"/>
          <w:numId w:val="0"/>
        </w:numPr>
        <w:spacing w:line="500" w:lineRule="exact"/>
        <w:rPr>
          <w:rFonts w:hint="default" w:ascii="Times New Roman" w:hAnsi="Times New Roman" w:eastAsia="方正仿宋简体" w:cs="Times New Roman"/>
          <w:sz w:val="32"/>
          <w:szCs w:val="32"/>
          <w:lang w:val="en-US" w:eastAsia="zh-CN"/>
        </w:rPr>
      </w:pPr>
    </w:p>
    <w:p>
      <w:pPr>
        <w:numPr>
          <w:ilvl w:val="0"/>
          <w:numId w:val="0"/>
        </w:numPr>
        <w:spacing w:line="500" w:lineRule="exact"/>
        <w:rPr>
          <w:rFonts w:hint="default" w:ascii="Times New Roman" w:hAnsi="Times New Roman" w:eastAsia="方正仿宋简体" w:cs="Times New Roman"/>
          <w:sz w:val="32"/>
          <w:szCs w:val="32"/>
          <w:lang w:val="en-US" w:eastAsia="zh-CN"/>
        </w:rPr>
      </w:pPr>
    </w:p>
    <w:p>
      <w:pPr>
        <w:numPr>
          <w:ilvl w:val="0"/>
          <w:numId w:val="0"/>
        </w:numPr>
        <w:spacing w:line="500" w:lineRule="exact"/>
        <w:rPr>
          <w:rFonts w:hint="default" w:ascii="Times New Roman" w:hAnsi="Times New Roman" w:eastAsia="方正仿宋简体" w:cs="Times New Roman"/>
          <w:sz w:val="32"/>
          <w:szCs w:val="32"/>
          <w:lang w:val="en-US" w:eastAsia="zh-CN"/>
        </w:rPr>
      </w:pPr>
    </w:p>
    <w:p>
      <w:pPr>
        <w:spacing w:line="500" w:lineRule="exact"/>
        <w:rPr>
          <w:rFonts w:hint="default" w:ascii="Times New Roman" w:hAnsi="Times New Roman" w:eastAsia="黑体" w:cs="Times New Roman"/>
          <w:sz w:val="32"/>
          <w:szCs w:val="32"/>
          <w:lang w:eastAsia="zh-CN"/>
        </w:rPr>
      </w:pPr>
    </w:p>
    <w:p>
      <w:pPr>
        <w:spacing w:line="500" w:lineRule="exact"/>
        <w:rPr>
          <w:rFonts w:hint="default" w:ascii="Times New Roman" w:hAnsi="Times New Roman" w:eastAsia="黑体" w:cs="Times New Roman"/>
          <w:sz w:val="32"/>
          <w:szCs w:val="32"/>
          <w:lang w:eastAsia="zh-CN"/>
        </w:rPr>
      </w:pPr>
    </w:p>
    <w:p>
      <w:pPr>
        <w:spacing w:line="500" w:lineRule="exact"/>
        <w:rPr>
          <w:rFonts w:hint="default" w:ascii="Times New Roman" w:hAnsi="Times New Roman" w:eastAsia="黑体" w:cs="Times New Roman"/>
          <w:sz w:val="32"/>
          <w:szCs w:val="32"/>
          <w:lang w:eastAsia="zh-CN"/>
        </w:rPr>
      </w:pPr>
    </w:p>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pacing w:line="600" w:lineRule="exact"/>
        <w:jc w:val="center"/>
        <w:rPr>
          <w:rFonts w:hint="default" w:ascii="Times New Roman" w:hAnsi="Times New Roman" w:eastAsia="方正仿宋简体" w:cs="Times New Roman"/>
          <w:sz w:val="44"/>
          <w:szCs w:val="44"/>
          <w:lang w:val="en-US" w:eastAsia="zh-CN"/>
        </w:rPr>
      </w:pPr>
      <w:r>
        <w:rPr>
          <w:rFonts w:hint="eastAsia" w:eastAsia="方正小标宋简体" w:cs="Times New Roman"/>
          <w:spacing w:val="-20"/>
          <w:sz w:val="44"/>
          <w:szCs w:val="44"/>
          <w:lang w:val="en-US" w:eastAsia="zh-CN"/>
        </w:rPr>
        <w:t>宣布失效</w:t>
      </w:r>
      <w:r>
        <w:rPr>
          <w:rFonts w:hint="default" w:ascii="Times New Roman" w:hAnsi="Times New Roman" w:eastAsia="方正小标宋简体" w:cs="Times New Roman"/>
          <w:spacing w:val="-20"/>
          <w:sz w:val="44"/>
          <w:szCs w:val="44"/>
          <w:lang w:val="en-US" w:eastAsia="zh-CN"/>
        </w:rPr>
        <w:t>的行政规范性文件目录</w:t>
      </w:r>
      <w:r>
        <w:rPr>
          <w:rFonts w:hint="eastAsia" w:eastAsia="方正小标宋简体" w:cs="Times New Roman"/>
          <w:spacing w:val="-20"/>
          <w:sz w:val="44"/>
          <w:szCs w:val="44"/>
          <w:lang w:val="en-US" w:eastAsia="zh-CN"/>
        </w:rPr>
        <w:t>（1件）</w:t>
      </w:r>
    </w:p>
    <w:tbl>
      <w:tblPr>
        <w:tblStyle w:val="6"/>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5131"/>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numPr>
                <w:ilvl w:val="0"/>
                <w:numId w:val="0"/>
              </w:numPr>
              <w:spacing w:line="500" w:lineRule="exact"/>
              <w:jc w:val="center"/>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序号</w:t>
            </w:r>
          </w:p>
        </w:tc>
        <w:tc>
          <w:tcPr>
            <w:tcW w:w="5131" w:type="dxa"/>
          </w:tcPr>
          <w:p>
            <w:pPr>
              <w:numPr>
                <w:ilvl w:val="0"/>
                <w:numId w:val="0"/>
              </w:numPr>
              <w:spacing w:line="500" w:lineRule="exact"/>
              <w:jc w:val="center"/>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规范性文件名称</w:t>
            </w:r>
          </w:p>
        </w:tc>
        <w:tc>
          <w:tcPr>
            <w:tcW w:w="2550" w:type="dxa"/>
          </w:tcPr>
          <w:p>
            <w:pPr>
              <w:numPr>
                <w:ilvl w:val="0"/>
                <w:numId w:val="0"/>
              </w:numPr>
              <w:spacing w:line="500" w:lineRule="exact"/>
              <w:jc w:val="center"/>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1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val="en-US" w:eastAsia="zh-CN"/>
              </w:rPr>
              <w:t>1</w:t>
            </w:r>
          </w:p>
        </w:tc>
        <w:tc>
          <w:tcPr>
            <w:tcW w:w="5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val="en-US" w:eastAsia="zh-CN"/>
              </w:rPr>
              <w:t>鲤城区城市管理委员会办公室关于印发《鲤城区“门前三包”责任制考评暂行规定》的通知</w:t>
            </w:r>
          </w:p>
        </w:tc>
        <w:tc>
          <w:tcPr>
            <w:tcW w:w="255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napToGrid w:val="0"/>
                <w:color w:val="000000"/>
                <w:spacing w:val="-28"/>
                <w:kern w:val="0"/>
                <w:sz w:val="32"/>
                <w:szCs w:val="32"/>
                <w:lang w:val="en-US" w:eastAsia="zh-CN"/>
              </w:rPr>
            </w:pPr>
            <w:r>
              <w:rPr>
                <w:rFonts w:hint="default" w:ascii="Times New Roman" w:hAnsi="Times New Roman" w:eastAsia="方正仿宋简体" w:cs="Times New Roman"/>
                <w:snapToGrid w:val="0"/>
                <w:color w:val="000000"/>
                <w:spacing w:val="-28"/>
                <w:kern w:val="0"/>
                <w:sz w:val="32"/>
                <w:szCs w:val="32"/>
                <w:lang w:val="en-US" w:eastAsia="zh-CN"/>
              </w:rPr>
              <w:t>泉鲤城管办〔2020〕2号</w:t>
            </w:r>
          </w:p>
        </w:tc>
      </w:tr>
    </w:tbl>
    <w:p>
      <w:pPr>
        <w:tabs>
          <w:tab w:val="left" w:pos="745"/>
        </w:tabs>
        <w:spacing w:line="500" w:lineRule="exact"/>
        <w:rPr>
          <w:rFonts w:hint="default" w:ascii="Times New Roman" w:hAnsi="Times New Roman" w:eastAsia="方正仿宋简体" w:cs="Times New Roman"/>
          <w:sz w:val="32"/>
          <w:szCs w:val="32"/>
          <w:lang w:eastAsia="zh-CN"/>
        </w:rPr>
      </w:pPr>
    </w:p>
    <w:p>
      <w:pPr>
        <w:pStyle w:val="2"/>
        <w:keepNext w:val="0"/>
        <w:keepLines w:val="0"/>
        <w:pageBreakBefore w:val="0"/>
        <w:kinsoku/>
        <w:wordWrap/>
        <w:overflowPunct/>
        <w:topLinePunct w:val="0"/>
        <w:autoSpaceDE/>
        <w:autoSpaceDN/>
        <w:bidi w:val="0"/>
        <w:snapToGrid/>
        <w:spacing w:line="500" w:lineRule="exact"/>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hint="default" w:ascii="Times New Roman" w:hAnsi="Times New Roman" w:eastAsia="方正仿宋简体" w:cs="方正仿宋简体"/>
          <w:spacing w:val="10"/>
          <w:sz w:val="28"/>
          <w:szCs w:val="28"/>
          <w:lang w:val="en-US" w:eastAsia="zh-CN"/>
        </w:rPr>
      </w:pPr>
      <w:r>
        <w:rPr>
          <w:rFonts w:hint="eastAsia" w:eastAsia="方正仿宋简体" w:cs="方正仿宋简体"/>
          <w:spacing w:val="10"/>
          <w:sz w:val="28"/>
          <w:szCs w:val="28"/>
          <w:lang w:val="en-US" w:eastAsia="zh-CN"/>
        </w:rPr>
        <w:t xml:space="preserve">                                                                                                                                                </w:t>
      </w:r>
    </w:p>
    <w:tbl>
      <w:tblPr>
        <w:tblStyle w:val="5"/>
        <w:tblpPr w:leftFromText="180" w:rightFromText="180" w:vertAnchor="text" w:horzAnchor="page" w:tblpX="1571" w:tblpY="364"/>
        <w:tblOverlap w:val="never"/>
        <w:tblW w:w="892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24" w:type="dxa"/>
          </w:tcPr>
          <w:p>
            <w:pPr>
              <w:spacing w:line="560" w:lineRule="exact"/>
              <w:ind w:firstLine="240" w:firstLineChars="100"/>
              <w:rPr>
                <w:rFonts w:ascii="Times New Roman" w:hAnsi="Times New Roman" w:eastAsia="方正仿宋简体"/>
                <w:sz w:val="28"/>
                <w:szCs w:val="28"/>
              </w:rPr>
            </w:pPr>
            <w:r>
              <w:rPr>
                <w:rFonts w:hint="eastAsia" w:ascii="Times New Roman" w:hAnsi="Times New Roman" w:eastAsia="方正仿宋简体" w:cs="方正仿宋简体"/>
                <w:color w:val="1C2D2B"/>
                <w:spacing w:val="-20"/>
                <w:kern w:val="0"/>
                <w:sz w:val="28"/>
                <w:szCs w:val="28"/>
                <w:lang w:val="zh-CN"/>
              </w:rPr>
              <w:t>泉州市鲤城区城市管理局</w:t>
            </w:r>
            <w:r>
              <w:rPr>
                <w:rFonts w:hint="eastAsia" w:ascii="Times New Roman" w:hAnsi="Times New Roman" w:eastAsia="方正仿宋简体" w:cs="方正仿宋简体"/>
                <w:color w:val="1C2D2B"/>
                <w:spacing w:val="-20"/>
                <w:kern w:val="0"/>
                <w:sz w:val="28"/>
                <w:szCs w:val="28"/>
                <w:lang w:val="en-US" w:eastAsia="zh-CN"/>
              </w:rPr>
              <w:t xml:space="preserve">                             </w:t>
            </w:r>
            <w:r>
              <w:rPr>
                <w:rFonts w:hint="eastAsia" w:ascii="Times New Roman" w:hAnsi="Times New Roman" w:eastAsia="方正仿宋简体" w:cs="方正仿宋简体"/>
                <w:kern w:val="2"/>
                <w:sz w:val="28"/>
                <w:szCs w:val="28"/>
                <w:lang w:val="zh-CN" w:eastAsia="zh-CN" w:bidi="ar-SA"/>
              </w:rPr>
              <w:t>202</w:t>
            </w:r>
            <w:r>
              <w:rPr>
                <w:rFonts w:hint="eastAsia" w:eastAsia="方正仿宋简体" w:cs="方正仿宋简体"/>
                <w:kern w:val="2"/>
                <w:sz w:val="28"/>
                <w:szCs w:val="28"/>
                <w:lang w:val="en-US" w:eastAsia="zh-CN" w:bidi="ar-SA"/>
              </w:rPr>
              <w:t>3</w:t>
            </w:r>
            <w:r>
              <w:rPr>
                <w:rFonts w:hint="eastAsia" w:ascii="Times New Roman" w:hAnsi="Times New Roman" w:eastAsia="方正仿宋简体" w:cs="方正仿宋简体"/>
                <w:kern w:val="2"/>
                <w:sz w:val="28"/>
                <w:szCs w:val="28"/>
                <w:lang w:val="zh-CN" w:eastAsia="zh-CN" w:bidi="ar-SA"/>
              </w:rPr>
              <w:t>年</w:t>
            </w:r>
            <w:r>
              <w:rPr>
                <w:rFonts w:hint="eastAsia" w:eastAsia="方正仿宋简体" w:cs="方正仿宋简体"/>
                <w:kern w:val="2"/>
                <w:sz w:val="28"/>
                <w:szCs w:val="28"/>
                <w:lang w:val="en-US" w:eastAsia="zh-CN" w:bidi="ar-SA"/>
              </w:rPr>
              <w:t xml:space="preserve"> </w:t>
            </w:r>
            <w:r>
              <w:rPr>
                <w:rFonts w:hint="eastAsia" w:ascii="Times New Roman" w:hAnsi="Times New Roman" w:eastAsia="方正仿宋简体" w:cs="方正仿宋简体"/>
                <w:kern w:val="2"/>
                <w:sz w:val="28"/>
                <w:szCs w:val="28"/>
                <w:lang w:val="zh-CN" w:eastAsia="zh-CN" w:bidi="ar-SA"/>
              </w:rPr>
              <w:t>月</w:t>
            </w:r>
            <w:r>
              <w:rPr>
                <w:rFonts w:hint="eastAsia" w:eastAsia="方正仿宋简体" w:cs="方正仿宋简体"/>
                <w:kern w:val="2"/>
                <w:sz w:val="28"/>
                <w:szCs w:val="28"/>
                <w:lang w:val="en-US" w:eastAsia="zh-CN" w:bidi="ar-SA"/>
              </w:rPr>
              <w:t xml:space="preserve"> </w:t>
            </w:r>
            <w:r>
              <w:rPr>
                <w:rFonts w:hint="eastAsia" w:ascii="Times New Roman" w:hAnsi="Times New Roman" w:eastAsia="方正仿宋简体" w:cs="方正仿宋简体"/>
                <w:kern w:val="2"/>
                <w:sz w:val="28"/>
                <w:szCs w:val="28"/>
                <w:lang w:val="zh-CN" w:eastAsia="zh-CN" w:bidi="ar-SA"/>
              </w:rPr>
              <w:t>日印发</w:t>
            </w:r>
          </w:p>
        </w:tc>
      </w:tr>
    </w:tbl>
    <w:p>
      <w:pPr>
        <w:pStyle w:val="2"/>
        <w:rPr>
          <w:rFonts w:ascii="Times New Roman" w:hAnsi="Times New Roman" w:eastAsia="方正仿宋简体" w:cs="方正仿宋简体"/>
          <w:spacing w:val="10"/>
          <w:sz w:val="28"/>
          <w:szCs w:val="28"/>
        </w:rPr>
      </w:pPr>
    </w:p>
    <w:sectPr>
      <w:headerReference r:id="rId3" w:type="first"/>
      <w:footerReference r:id="rId6" w:type="first"/>
      <w:footerReference r:id="rId4" w:type="default"/>
      <w:footerReference r:id="rId5" w:type="even"/>
      <w:pgSz w:w="11906" w:h="16838"/>
      <w:pgMar w:top="1701" w:right="1531"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5012055</wp:posOffset>
              </wp:positionH>
              <wp:positionV relativeFrom="paragraph">
                <wp:posOffset>85725</wp:posOffset>
              </wp:positionV>
              <wp:extent cx="568325" cy="1828800"/>
              <wp:effectExtent l="0" t="0" r="0" b="0"/>
              <wp:wrapNone/>
              <wp:docPr id="1" name="文本框 22"/>
              <wp:cNvGraphicFramePr/>
              <a:graphic xmlns:a="http://schemas.openxmlformats.org/drawingml/2006/main">
                <a:graphicData uri="http://schemas.microsoft.com/office/word/2010/wordprocessingShape">
                  <wps:wsp>
                    <wps:cNvSpPr txBox="1"/>
                    <wps:spPr>
                      <a:xfrm>
                        <a:off x="0" y="0"/>
                        <a:ext cx="568325"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val="en-US"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w:t>
                          </w:r>
                        </w:p>
                      </w:txbxContent>
                    </wps:txbx>
                    <wps:bodyPr wrap="square" lIns="0" tIns="0" rIns="0" bIns="0" upright="0">
                      <a:spAutoFit/>
                    </wps:bodyPr>
                  </wps:wsp>
                </a:graphicData>
              </a:graphic>
            </wp:anchor>
          </w:drawing>
        </mc:Choice>
        <mc:Fallback>
          <w:pict>
            <v:shape id="文本框 22" o:spid="_x0000_s1026" o:spt="202" type="#_x0000_t202" style="position:absolute;left:0pt;margin-left:394.65pt;margin-top:6.75pt;height:144pt;width:44.75pt;mso-position-horizontal-relative:margin;z-index:251659264;mso-width-relative:page;mso-height-relative:page;" filled="f" stroked="f" coordsize="21600,21600" o:gfxdata="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Lijgu1wAAAAoBAAAPAAAAAAAAAAEAIAAAACIA&#10;AABkcnMvZG93bnJldi54bWxQSwECFAAUAAAACACHTuJAdicX99EBAACbAwAADgAAAAAAAAABACAA&#10;AAAmAQAAZHJzL2Uyb0RvYy54bWxQSwUGAAAAAAYABgBZAQAAaQ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val="en-US"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113030</wp:posOffset>
              </wp:positionH>
              <wp:positionV relativeFrom="paragraph">
                <wp:posOffset>78105</wp:posOffset>
              </wp:positionV>
              <wp:extent cx="57404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40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eastAsia="zh-CN"/>
                            </w:rPr>
                          </w:pPr>
                          <w:r>
                            <w:rPr>
                              <w:rFonts w:hint="eastAsia" w:ascii="宋体" w:hAnsi="宋体" w:cs="宋体"/>
                              <w:sz w:val="28"/>
                              <w:szCs w:val="28"/>
                              <w:lang w:val="en-US"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9pt;margin-top:6.15pt;height:18.65pt;width:45.2pt;mso-position-horizontal-relative:margin;z-index:251660288;mso-width-relative:page;mso-height-relative:page;" filled="f" stroked="f" coordsize="21600,21600" o:gfxdata="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ShA8tcAAAAIAQAADwAAAAAAAAABACAAAAAiAAAAZHJzL2Rvd25y&#10;ZXYueG1sUEsBAhQAFAAAAAgAh07iQO1fzSA4AgAAYQQAAA4AAAAAAAAAAQAgAAAAJgEAAGRycy9l&#10;Mm9Eb2MueG1sUEsFBgAAAAAGAAYAWQEAANAFAAAAAA==&#10;">
              <v:fill on="f" focussize="0,0"/>
              <v:stroke on="f" weight="0.5pt"/>
              <v:imagedata o:title=""/>
              <o:lock v:ext="edit" aspectratio="f"/>
              <v:textbox inset="0mm,0mm,0mm,0mm">
                <w:txbxContent>
                  <w:p>
                    <w:pPr>
                      <w:pStyle w:val="3"/>
                      <w:rPr>
                        <w:rFonts w:hint="eastAsia"/>
                        <w:lang w:eastAsia="zh-CN"/>
                      </w:rPr>
                    </w:pPr>
                    <w:r>
                      <w:rPr>
                        <w:rFonts w:hint="eastAsia" w:ascii="宋体" w:hAnsi="宋体" w:cs="宋体"/>
                        <w:sz w:val="28"/>
                        <w:szCs w:val="28"/>
                        <w:lang w:val="en-US"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9C384"/>
    <w:multiLevelType w:val="singleLevel"/>
    <w:tmpl w:val="8039C3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GE4NzA1MjNhYjIyZThiOGQwNzBkNTdmNmRlNDAifQ=="/>
    <w:docVar w:name="KSO_WPS_MARK_KEY" w:val="e0d1afde-42d0-42f5-9616-089ac59634d7"/>
  </w:docVars>
  <w:rsids>
    <w:rsidRoot w:val="003C6AE2"/>
    <w:rsid w:val="0001325F"/>
    <w:rsid w:val="00070089"/>
    <w:rsid w:val="0007131B"/>
    <w:rsid w:val="000F73AE"/>
    <w:rsid w:val="00113D01"/>
    <w:rsid w:val="001674DB"/>
    <w:rsid w:val="001711D0"/>
    <w:rsid w:val="001B1F88"/>
    <w:rsid w:val="001B5C64"/>
    <w:rsid w:val="001C5332"/>
    <w:rsid w:val="001D64F6"/>
    <w:rsid w:val="001E676F"/>
    <w:rsid w:val="002276E9"/>
    <w:rsid w:val="002A1988"/>
    <w:rsid w:val="003109FA"/>
    <w:rsid w:val="00355D26"/>
    <w:rsid w:val="00362598"/>
    <w:rsid w:val="00364D3A"/>
    <w:rsid w:val="003C6AE2"/>
    <w:rsid w:val="003D6411"/>
    <w:rsid w:val="00456377"/>
    <w:rsid w:val="0046119C"/>
    <w:rsid w:val="004812C2"/>
    <w:rsid w:val="004B3F48"/>
    <w:rsid w:val="00547AAC"/>
    <w:rsid w:val="00560994"/>
    <w:rsid w:val="00591C40"/>
    <w:rsid w:val="005D68A3"/>
    <w:rsid w:val="005D7AC4"/>
    <w:rsid w:val="006534EE"/>
    <w:rsid w:val="006625EC"/>
    <w:rsid w:val="006B78D6"/>
    <w:rsid w:val="006D47A1"/>
    <w:rsid w:val="006E6904"/>
    <w:rsid w:val="00705B9C"/>
    <w:rsid w:val="00765218"/>
    <w:rsid w:val="0078155B"/>
    <w:rsid w:val="007D2553"/>
    <w:rsid w:val="007E2EF6"/>
    <w:rsid w:val="007F1769"/>
    <w:rsid w:val="00802276"/>
    <w:rsid w:val="00821518"/>
    <w:rsid w:val="00832D6E"/>
    <w:rsid w:val="008466F6"/>
    <w:rsid w:val="00851EE2"/>
    <w:rsid w:val="00886E5D"/>
    <w:rsid w:val="00897AF6"/>
    <w:rsid w:val="008B1C48"/>
    <w:rsid w:val="008E0116"/>
    <w:rsid w:val="00901E28"/>
    <w:rsid w:val="00907A2F"/>
    <w:rsid w:val="009A54F6"/>
    <w:rsid w:val="00A42F51"/>
    <w:rsid w:val="00A76BAE"/>
    <w:rsid w:val="00A86F49"/>
    <w:rsid w:val="00AB20F7"/>
    <w:rsid w:val="00AB6BF8"/>
    <w:rsid w:val="00AC1FA2"/>
    <w:rsid w:val="00AF4DC6"/>
    <w:rsid w:val="00B01388"/>
    <w:rsid w:val="00B60094"/>
    <w:rsid w:val="00B62ED8"/>
    <w:rsid w:val="00B63F56"/>
    <w:rsid w:val="00B70240"/>
    <w:rsid w:val="00B71B57"/>
    <w:rsid w:val="00B8136B"/>
    <w:rsid w:val="00B82DAA"/>
    <w:rsid w:val="00B96E20"/>
    <w:rsid w:val="00BB6F72"/>
    <w:rsid w:val="00BB7584"/>
    <w:rsid w:val="00BD3281"/>
    <w:rsid w:val="00C72E41"/>
    <w:rsid w:val="00C83A4B"/>
    <w:rsid w:val="00CA0F97"/>
    <w:rsid w:val="00CC49F2"/>
    <w:rsid w:val="00CF7669"/>
    <w:rsid w:val="00D130AB"/>
    <w:rsid w:val="00D41AE5"/>
    <w:rsid w:val="00D70CCE"/>
    <w:rsid w:val="00D76578"/>
    <w:rsid w:val="00D8588D"/>
    <w:rsid w:val="00D97A23"/>
    <w:rsid w:val="00E07A51"/>
    <w:rsid w:val="00E1031F"/>
    <w:rsid w:val="00E14B92"/>
    <w:rsid w:val="00E35D89"/>
    <w:rsid w:val="00E5362E"/>
    <w:rsid w:val="00E70715"/>
    <w:rsid w:val="00E8440E"/>
    <w:rsid w:val="00F24129"/>
    <w:rsid w:val="00F32398"/>
    <w:rsid w:val="00F640CB"/>
    <w:rsid w:val="00F811B7"/>
    <w:rsid w:val="00FE623B"/>
    <w:rsid w:val="02251150"/>
    <w:rsid w:val="02357A79"/>
    <w:rsid w:val="02F41532"/>
    <w:rsid w:val="039D18E6"/>
    <w:rsid w:val="03DD1CE2"/>
    <w:rsid w:val="047F3900"/>
    <w:rsid w:val="04E84DE3"/>
    <w:rsid w:val="04EA6162"/>
    <w:rsid w:val="05D215EF"/>
    <w:rsid w:val="062E4A77"/>
    <w:rsid w:val="06563FCE"/>
    <w:rsid w:val="07D433FC"/>
    <w:rsid w:val="08114650"/>
    <w:rsid w:val="087D5842"/>
    <w:rsid w:val="098D5F59"/>
    <w:rsid w:val="09CB4B3C"/>
    <w:rsid w:val="09F92491"/>
    <w:rsid w:val="0B907F82"/>
    <w:rsid w:val="0BA25F56"/>
    <w:rsid w:val="0C177D5B"/>
    <w:rsid w:val="0CF663AE"/>
    <w:rsid w:val="0D1150F2"/>
    <w:rsid w:val="0D907DC5"/>
    <w:rsid w:val="0E060087"/>
    <w:rsid w:val="0E4B0D79"/>
    <w:rsid w:val="0E4C22F2"/>
    <w:rsid w:val="104A6951"/>
    <w:rsid w:val="10771710"/>
    <w:rsid w:val="11401B02"/>
    <w:rsid w:val="114E18C3"/>
    <w:rsid w:val="1332191F"/>
    <w:rsid w:val="13C54541"/>
    <w:rsid w:val="142179C9"/>
    <w:rsid w:val="142C636E"/>
    <w:rsid w:val="14E84592"/>
    <w:rsid w:val="15B605E5"/>
    <w:rsid w:val="16EA7C4C"/>
    <w:rsid w:val="185D2F9A"/>
    <w:rsid w:val="18F04D3F"/>
    <w:rsid w:val="1AF5284A"/>
    <w:rsid w:val="1B75684C"/>
    <w:rsid w:val="1F085F91"/>
    <w:rsid w:val="1F2E743E"/>
    <w:rsid w:val="202C6073"/>
    <w:rsid w:val="22943A5C"/>
    <w:rsid w:val="22ED49C0"/>
    <w:rsid w:val="23465188"/>
    <w:rsid w:val="239857CE"/>
    <w:rsid w:val="244D0366"/>
    <w:rsid w:val="245168ED"/>
    <w:rsid w:val="24D102F6"/>
    <w:rsid w:val="24D665AE"/>
    <w:rsid w:val="25B032A3"/>
    <w:rsid w:val="26265313"/>
    <w:rsid w:val="26BC17D3"/>
    <w:rsid w:val="27AA5AD0"/>
    <w:rsid w:val="27C052F3"/>
    <w:rsid w:val="29C966E1"/>
    <w:rsid w:val="2B715282"/>
    <w:rsid w:val="2B785798"/>
    <w:rsid w:val="2C092CED"/>
    <w:rsid w:val="2D7921CC"/>
    <w:rsid w:val="2EA27501"/>
    <w:rsid w:val="2FC54BD5"/>
    <w:rsid w:val="30B33C47"/>
    <w:rsid w:val="31376626"/>
    <w:rsid w:val="31554CFE"/>
    <w:rsid w:val="31994BEB"/>
    <w:rsid w:val="326641B0"/>
    <w:rsid w:val="32987598"/>
    <w:rsid w:val="32D3237F"/>
    <w:rsid w:val="33E02FA5"/>
    <w:rsid w:val="34607C42"/>
    <w:rsid w:val="34BD5094"/>
    <w:rsid w:val="352E1AEE"/>
    <w:rsid w:val="353D56A6"/>
    <w:rsid w:val="357E2A76"/>
    <w:rsid w:val="35B244CD"/>
    <w:rsid w:val="362F0E3F"/>
    <w:rsid w:val="36545BD0"/>
    <w:rsid w:val="369E4A52"/>
    <w:rsid w:val="370F76FD"/>
    <w:rsid w:val="378C0D4E"/>
    <w:rsid w:val="3A1E6032"/>
    <w:rsid w:val="3B0D21A6"/>
    <w:rsid w:val="3B7D557D"/>
    <w:rsid w:val="3B884CBB"/>
    <w:rsid w:val="3EB017C6"/>
    <w:rsid w:val="3EF27629"/>
    <w:rsid w:val="3F9222E7"/>
    <w:rsid w:val="3FB53538"/>
    <w:rsid w:val="3FE0432D"/>
    <w:rsid w:val="40844CB8"/>
    <w:rsid w:val="40D013A0"/>
    <w:rsid w:val="42470693"/>
    <w:rsid w:val="43565D8F"/>
    <w:rsid w:val="43C53F65"/>
    <w:rsid w:val="44D51D3F"/>
    <w:rsid w:val="44E65F41"/>
    <w:rsid w:val="45BC6CA2"/>
    <w:rsid w:val="47E95CD7"/>
    <w:rsid w:val="48A028AB"/>
    <w:rsid w:val="48AC2FFE"/>
    <w:rsid w:val="49204FC6"/>
    <w:rsid w:val="4A440341"/>
    <w:rsid w:val="4A9B157C"/>
    <w:rsid w:val="4B586580"/>
    <w:rsid w:val="4C8C0A39"/>
    <w:rsid w:val="4C96021E"/>
    <w:rsid w:val="4CB330E9"/>
    <w:rsid w:val="4CD01356"/>
    <w:rsid w:val="4D551EB6"/>
    <w:rsid w:val="4E217FEA"/>
    <w:rsid w:val="4E881E17"/>
    <w:rsid w:val="503D591C"/>
    <w:rsid w:val="50AB55A3"/>
    <w:rsid w:val="519B6306"/>
    <w:rsid w:val="52C4165C"/>
    <w:rsid w:val="52D25D57"/>
    <w:rsid w:val="55052414"/>
    <w:rsid w:val="55CF47D0"/>
    <w:rsid w:val="562F2A20"/>
    <w:rsid w:val="5630534C"/>
    <w:rsid w:val="57AA2DFF"/>
    <w:rsid w:val="5AAC2611"/>
    <w:rsid w:val="5C1D63F8"/>
    <w:rsid w:val="5CA1579F"/>
    <w:rsid w:val="5D0B2591"/>
    <w:rsid w:val="5D801B4F"/>
    <w:rsid w:val="5E9D190F"/>
    <w:rsid w:val="5ECF3B18"/>
    <w:rsid w:val="5EF3418A"/>
    <w:rsid w:val="5FC37153"/>
    <w:rsid w:val="600532C8"/>
    <w:rsid w:val="6015421E"/>
    <w:rsid w:val="610C0686"/>
    <w:rsid w:val="6204776D"/>
    <w:rsid w:val="62966DA1"/>
    <w:rsid w:val="62970423"/>
    <w:rsid w:val="62D00FE0"/>
    <w:rsid w:val="6347265C"/>
    <w:rsid w:val="636649C5"/>
    <w:rsid w:val="64B21544"/>
    <w:rsid w:val="64DF3ED3"/>
    <w:rsid w:val="6518584B"/>
    <w:rsid w:val="680E2F36"/>
    <w:rsid w:val="68106CAE"/>
    <w:rsid w:val="68D26659"/>
    <w:rsid w:val="69644FEA"/>
    <w:rsid w:val="69743FCA"/>
    <w:rsid w:val="69790883"/>
    <w:rsid w:val="6A2558F4"/>
    <w:rsid w:val="6BA936A1"/>
    <w:rsid w:val="6CE93F71"/>
    <w:rsid w:val="6D307D54"/>
    <w:rsid w:val="6D6B05D4"/>
    <w:rsid w:val="6F3C65DA"/>
    <w:rsid w:val="70025FA8"/>
    <w:rsid w:val="71125845"/>
    <w:rsid w:val="71864485"/>
    <w:rsid w:val="7243274A"/>
    <w:rsid w:val="72FC5CD3"/>
    <w:rsid w:val="748C1DB2"/>
    <w:rsid w:val="752124FA"/>
    <w:rsid w:val="75605CBE"/>
    <w:rsid w:val="76821547"/>
    <w:rsid w:val="76D1152D"/>
    <w:rsid w:val="776668EA"/>
    <w:rsid w:val="77A64F39"/>
    <w:rsid w:val="781C344D"/>
    <w:rsid w:val="7AA65250"/>
    <w:rsid w:val="7BF87D2D"/>
    <w:rsid w:val="7E1D557F"/>
    <w:rsid w:val="7E486D4A"/>
    <w:rsid w:val="7E617E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qFormat/>
    <w:uiPriority w:val="99"/>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autoRedefine/>
    <w:semiHidden/>
    <w:qFormat/>
    <w:locked/>
    <w:uiPriority w:val="99"/>
    <w:rPr>
      <w:rFonts w:ascii="Times New Roman" w:hAnsi="Times New Roman" w:eastAsia="宋体" w:cs="Times New Roman"/>
      <w:sz w:val="18"/>
      <w:szCs w:val="18"/>
    </w:rPr>
  </w:style>
  <w:style w:type="character" w:customStyle="1" w:styleId="9">
    <w:name w:val="页脚 Char"/>
    <w:basedOn w:val="7"/>
    <w:link w:val="3"/>
    <w:autoRedefine/>
    <w:qFormat/>
    <w:locked/>
    <w:uiPriority w:val="99"/>
    <w:rPr>
      <w:rFonts w:ascii="Times New Roman" w:hAnsi="Times New Roman" w:eastAsia="宋体" w:cs="Times New Roman"/>
      <w:sz w:val="18"/>
      <w:szCs w:val="18"/>
    </w:rPr>
  </w:style>
  <w:style w:type="character" w:customStyle="1" w:styleId="10">
    <w:name w:val="页眉 Char"/>
    <w:basedOn w:val="7"/>
    <w:link w:val="4"/>
    <w:autoRedefine/>
    <w:semiHidden/>
    <w:qFormat/>
    <w:locked/>
    <w:uiPriority w:val="99"/>
    <w:rPr>
      <w:rFonts w:ascii="Times New Roman" w:hAnsi="Times New Roman" w:eastAsia="宋体" w:cs="Times New Roman"/>
      <w:sz w:val="18"/>
      <w:szCs w:val="18"/>
    </w:rPr>
  </w:style>
  <w:style w:type="paragraph" w:customStyle="1" w:styleId="11">
    <w:name w:val="Char Char Char Char"/>
    <w:basedOn w:val="1"/>
    <w:autoRedefine/>
    <w:qFormat/>
    <w:uiPriority w:val="99"/>
    <w:pPr>
      <w:spacing w:before="120" w:after="120" w:line="360" w:lineRule="auto"/>
    </w:pPr>
  </w:style>
  <w:style w:type="paragraph" w:customStyle="1" w:styleId="12">
    <w:name w:val="BodyText1I2"/>
    <w:basedOn w:val="1"/>
    <w:autoRedefine/>
    <w:qFormat/>
    <w:uiPriority w:val="99"/>
    <w:pPr>
      <w:widowControl/>
      <w:spacing w:after="120"/>
      <w:ind w:firstLine="40"/>
      <w:textAlignment w:val="baseline"/>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252</Words>
  <Characters>266</Characters>
  <Lines>10</Lines>
  <Paragraphs>3</Paragraphs>
  <TotalTime>63</TotalTime>
  <ScaleCrop>false</ScaleCrop>
  <LinksUpToDate>false</LinksUpToDate>
  <CharactersWithSpaces>296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2022-10-11T09:37:00Z</dcterms:created>
  <dc:creator>Administrator</dc:creator>
  <cp:lastModifiedBy>Little君</cp:lastModifiedBy>
  <cp:lastPrinted>2024-01-16T02:24:00Z</cp:lastPrinted>
  <dcterms:modified xsi:type="dcterms:W3CDTF">2024-01-19T04:54:03Z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A43EF63CCFE1493587A3B46D50C59F95</vt:lpwstr>
  </property>
</Properties>
</file>